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0" w:type="dxa"/>
        <w:tblW w:w="10181" w:type="dxa"/>
        <w:tblLook w:val="01E0" w:firstRow="1" w:lastRow="1" w:firstColumn="1" w:lastColumn="1" w:noHBand="0" w:noVBand="0"/>
      </w:tblPr>
      <w:tblGrid>
        <w:gridCol w:w="1533"/>
        <w:gridCol w:w="623"/>
        <w:gridCol w:w="396"/>
        <w:gridCol w:w="1751"/>
        <w:gridCol w:w="535"/>
        <w:gridCol w:w="504"/>
        <w:gridCol w:w="582"/>
        <w:gridCol w:w="591"/>
        <w:gridCol w:w="1960"/>
        <w:gridCol w:w="1706"/>
      </w:tblGrid>
      <w:tr>
        <w:trPr>
          <w:tblHeader w:val="0"/>
          <w:cantSplit w:val="0"/>
          <w:trHeight w:val="1210" w:hRule="atLeast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64917752" protected="0"/>
          </w:tcPr>
          <w:p>
            <w:pPr>
              <w:pStyle w:val="para0"/>
              <w:spacing/>
              <w:jc w:val="center"/>
              <w:widowControl w:val="0"/>
              <w:rPr>
                <w:color w:val="000000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463550" cy="7156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val="SMDATA_16_+IEy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2gIAAGc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64917752" protected="0"/>
          </w:tcPr>
          <w:p>
            <w:pPr>
              <w:pStyle w:val="para0"/>
              <w:spacing w:line="276" w:lineRule="auto"/>
              <w:jc w:val="center"/>
              <w:widowControl w:val="0"/>
              <w:rPr>
                <w:color w:val="000000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КЕМЕРОВСКАЯ ОБЛАСТЬ-КУЗБАСС</w:t>
            </w:r>
            <w:r>
              <w:rPr>
                <w:color w:val="000000"/>
              </w:rPr>
            </w:r>
          </w:p>
          <w:p>
            <w:pPr>
              <w:pStyle w:val="para0"/>
              <w:spacing w:line="276" w:lineRule="auto"/>
              <w:jc w:val="center"/>
              <w:widowControl w:val="0"/>
              <w:rPr>
                <w:color w:val="000000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Анжеро-Судженский городской округ</w:t>
            </w:r>
            <w:r>
              <w:rPr>
                <w:color w:val="000000"/>
              </w:rPr>
            </w:r>
          </w:p>
          <w:p>
            <w:pPr>
              <w:pStyle w:val="para0"/>
              <w:ind w:left="-170" w:right="227" w:firstLine="0"/>
              <w:spacing w:line="276" w:lineRule="auto"/>
              <w:jc w:val="center"/>
              <w:widowControl w:val="0"/>
              <w:tabs defTabSz="708">
                <w:tab w:val="left" w:pos="0" w:leader="none"/>
              </w:tabs>
              <w:rPr>
                <w:color w:val="000000"/>
              </w:rPr>
            </w:pPr>
            <w:r/>
            <w:bookmarkStart w:id="0" w:name="r06"/>
            <w:r/>
            <w:r>
              <w:rPr>
                <w:b/>
                <w:caps/>
                <w:color w:val="000000"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color w:val="000000"/>
                <w:sz w:val="28"/>
                <w:szCs w:val="28"/>
              </w:rPr>
              <w:t xml:space="preserve"> городского округа</w:t>
            </w:r>
            <w:r>
              <w:rPr>
                <w:color w:val="000000"/>
              </w:rPr>
            </w:r>
          </w:p>
          <w:p>
            <w:pPr>
              <w:pStyle w:val="para0"/>
              <w:spacing w:line="360" w:lineRule="auto"/>
              <w:jc w:val="center"/>
              <w:widowControl w:val="0"/>
              <w:rPr>
                <w:b/>
                <w:caps/>
                <w:color w:val="000000"/>
                <w:sz w:val="26"/>
                <w:szCs w:val="26"/>
              </w:rPr>
            </w:pPr>
            <w:r>
              <w:rPr>
                <w:b/>
                <w:caps/>
                <w:color w:val="000000"/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64917752" protected="0"/>
          </w:tcPr>
          <w:p>
            <w:pPr>
              <w:pStyle w:val="para0"/>
              <w:spacing/>
              <w:jc w:val="center"/>
              <w:widowControl w:val="0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ПОСТАНОВЛЕНИЕ</w:t>
            </w: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402" w:hRule="atLeast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64917752" protected="0"/>
          </w:tcPr>
          <w:p>
            <w:pPr>
              <w:pStyle w:val="para0"/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tmTcPr id="1764917752" protected="0"/>
          </w:tcPr>
          <w:p>
            <w:pPr>
              <w:pStyle w:val="para0"/>
              <w:ind w:right="33" w:firstLine="0"/>
              <w:spacing/>
              <w:jc w:val="right"/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от «</w:t>
            </w:r>
            <w:r>
              <w:rPr>
                <w:color w:val="000000"/>
              </w:rPr>
            </w:r>
          </w:p>
        </w:tc>
        <w:tc>
          <w:tcPr>
            <w:tcW w:w="62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/>
              <w:jc w:val="center"/>
              <w:widowControl w:val="0"/>
            </w:pPr>
            <w:r/>
            <w:bookmarkStart w:id="1" w:name="r09d"/>
            <w:r/>
            <w:bookmarkStart w:id="1" w:name="r09d"/>
            <w:r/>
            <w:bookmarkEnd w:id="1"/>
            <w:r/>
          </w:p>
        </w:tc>
        <w:tc>
          <w:tcPr>
            <w:tcW w:w="396" w:type="dxa"/>
            <w:tcMar>
              <w:top w:w="0" w:type="dxa"/>
              <w:left w:w="108" w:type="dxa"/>
              <w:bottom w:w="0" w:type="dxa"/>
              <w:right w:w="108" w:type="dxa"/>
            </w:tcMar>
            <w:tmTcPr id="1764917752" protected="0"/>
          </w:tcPr>
          <w:p>
            <w:pPr>
              <w:pStyle w:val="para0"/>
              <w:spacing/>
              <w:jc w:val="both"/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</w:rPr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/>
              <w:jc w:val="center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  <w:tmTcPr id="1764917752" protected="0"/>
          </w:tcPr>
          <w:p>
            <w:pPr>
              <w:pStyle w:val="para0"/>
              <w:ind w:right="-76" w:firstLine="0"/>
              <w:spacing/>
              <w:jc w:val="right"/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</w:rPr>
            </w:r>
          </w:p>
        </w:tc>
        <w:tc>
          <w:tcPr>
            <w:tcW w:w="50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ind w:right="-152" w:firstLine="0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2" w:type="dxa"/>
            <w:tcMar>
              <w:top w:w="0" w:type="dxa"/>
              <w:left w:w="108" w:type="dxa"/>
              <w:bottom w:w="0" w:type="dxa"/>
              <w:right w:w="108" w:type="dxa"/>
            </w:tcMar>
            <w:tmTcPr id="1764917752" protected="0"/>
          </w:tcPr>
          <w:p>
            <w:pPr>
              <w:pStyle w:val="para0"/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г.</w:t>
            </w:r>
            <w:r>
              <w:rPr>
                <w:color w:val="000000"/>
              </w:rPr>
            </w:r>
          </w:p>
        </w:tc>
        <w:tc>
          <w:tcPr>
            <w:tcW w:w="591" w:type="dxa"/>
            <w:tcMar>
              <w:top w:w="0" w:type="dxa"/>
              <w:left w:w="108" w:type="dxa"/>
              <w:bottom w:w="0" w:type="dxa"/>
              <w:right w:w="108" w:type="dxa"/>
            </w:tcMar>
            <w:tmTcPr id="1764917752" protected="0"/>
          </w:tcPr>
          <w:p>
            <w:pPr>
              <w:pStyle w:val="para0"/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</w:rPr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ind w:firstLine="708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tmTcPr id="1764917752" protected="0"/>
          </w:tcPr>
          <w:p>
            <w:pPr>
              <w:pStyle w:val="para0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tmTcPr id="1764917752" protected="0"/>
          </w:tcPr>
          <w:p>
            <w:pPr>
              <w:pStyle w:val="para0"/>
              <w:spacing/>
              <w:jc w:val="center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para0"/>
              <w:spacing/>
              <w:jc w:val="center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spacing/>
        <w:jc w:val="center"/>
      </w:pPr>
      <w:r>
        <w:rPr>
          <w:rFonts w:ascii="PT Astra Serif" w:hAnsi="PT Astra Serif"/>
          <w:b/>
          <w:color w:val="000000"/>
          <w:sz w:val="28"/>
        </w:rPr>
        <w:t>О внесении изменений в постановление администрации Анжеро-Судженского городского округа от 23.07.2021 № 752 «Об утверждении муниципальной программы «Управление муниципальными финансами Анжеро-Судженского городского округа» на 2022-2027 годы»</w:t>
      </w:r>
      <w:r/>
    </w:p>
    <w:p>
      <w:pPr>
        <w:ind w:firstLine="709"/>
        <w:tabs defTabSz="708">
          <w:tab w:val="left" w:pos="3554" w:leader="none"/>
        </w:tabs>
      </w:pPr>
      <w:r>
        <w:rPr>
          <w:rFonts w:ascii="PT Astra Serif" w:hAnsi="PT Astra Serif"/>
          <w:b/>
          <w:color w:val="000000"/>
          <w:sz w:val="28"/>
        </w:rPr>
        <w:tab/>
      </w:r>
      <w:r/>
    </w:p>
    <w:p>
      <w:pPr>
        <w:ind w:firstLine="709"/>
        <w:tabs defTabSz="708">
          <w:tab w:val="left" w:pos="3554" w:leader="none"/>
        </w:tabs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</w:r>
    </w:p>
    <w:p>
      <w:pPr>
        <w:ind w:firstLine="709"/>
        <w:spacing/>
        <w:jc w:val="both"/>
      </w:pPr>
      <w:r>
        <w:rPr>
          <w:rFonts w:ascii="PT Astra Serif" w:hAnsi="PT Astra Serif"/>
          <w:color w:val="000000"/>
          <w:sz w:val="28"/>
          <w:szCs w:val="28"/>
        </w:rPr>
        <w:t>В соответствии с требованиями статьи 179 Бюджетного кодекса Российской Федерации, на основании постановления администрации Анжеро-Судженского городского округа от 16.09.2013 № 1286 «Об утверждении Положения о муниципальных программах Анжеро-Судженского городского округа» (в редакции постановлений: от 30.09.2013   № 1395, от 28.05.2015 № 883, от 26.08.2015 № 1270, от 31.03.2016 № 449,     от 03.04.2017 № 621, от 21.09.2017 № 1647, от 14.08.2019 № 996, от 01.06.2023 № 490, от 11.12.2023 № 1140, от 15.07.2025 № 721),</w:t>
      </w:r>
      <w:r/>
    </w:p>
    <w:p>
      <w:pPr>
        <w:ind w:firstLine="709"/>
        <w:spacing/>
        <w:jc w:val="both"/>
      </w:pPr>
      <w:r>
        <w:rPr>
          <w:rFonts w:ascii="PT Astra Serif" w:hAnsi="PT Astra Serif"/>
          <w:color w:val="000000"/>
          <w:sz w:val="28"/>
          <w:szCs w:val="28"/>
        </w:rPr>
        <w:t>1. Внести в муниципальную программу «Управление муниципальными финансами Анжеро-Судженского городского округа» на 2022-2027 годы, утвержденную постановлением администрации Анжеро-Судженского городского округа от 23.07.2021 № 752 «Об утверждении муниципальной программы «Управление муниципальными финансами Анжеро-Судженского городского округа» на 2022-2027 годы» (в редакции постановлений: от 30.12.2021 № 1595, от 18.08.2022 № 1108, от 31.08.2022 № 1163,                    от 29.12.2022 № 1696, от 19.04.2023 № 349, от 07.08.2023 № 698, от 07.11.2023 № 983, от 12.01.2024 №3, от 13.08.2024 № 632, от 29.10.2024 №956, от 28.12.2024 № 1210, от 04.08.2025 № 767) следующие изменения:</w:t>
      </w:r>
      <w:r/>
    </w:p>
    <w:p>
      <w:pPr>
        <w:ind w:firstLine="709"/>
        <w:spacing/>
        <w:jc w:val="both"/>
      </w:pPr>
      <w:r>
        <w:rPr>
          <w:rFonts w:ascii="PT Astra Serif" w:hAnsi="PT Astra Serif"/>
          <w:color w:val="000000"/>
          <w:sz w:val="28"/>
          <w:szCs w:val="28"/>
        </w:rPr>
        <w:t>1.1. Строку «Объемы и источники финансирования муниципальной программы в целом и с разбивкой по годам ее реализации» паспорта муниципальной программы изложить в новой редакции:</w:t>
      </w:r>
      <w:r/>
    </w:p>
    <w:p>
      <w:r>
        <w:br w:type="page"/>
      </w:r>
    </w:p>
    <w:tbl>
      <w:tblPr>
        <w:tblStyle w:val="NormalTable"/>
        <w:name w:val="Таблица2"/>
        <w:tabOrder w:val="0"/>
        <w:jc w:val="left"/>
        <w:tblInd w:w="109" w:type="dxa"/>
        <w:tblW w:w="10030" w:type="dxa"/>
        <w:pPr>
          <w:ind w:left="109"/>
        </w:pPr>
        <w:tblLook w:val="04A0" w:firstRow="1" w:lastRow="0" w:firstColumn="1" w:lastColumn="0" w:noHBand="0" w:noVBand="1"/>
      </w:tblPr>
      <w:tblGrid>
        <w:gridCol w:w="394"/>
        <w:gridCol w:w="4370"/>
        <w:gridCol w:w="4557"/>
        <w:gridCol w:w="709"/>
      </w:tblGrid>
      <w:tr>
        <w:trPr>
          <w:tblHeader w:val="0"/>
          <w:cantSplit w:val="0"/>
          <w:trHeight w:val="415" w:hRule="atLeast"/>
        </w:trPr>
        <w:tc>
          <w:tcPr>
            <w:tcW w:w="394" w:type="dxa"/>
            <w:tcMar>
              <w:top w:w="55" w:type="dxa"/>
              <w:left w:w="108" w:type="dxa"/>
              <w:bottom w:w="55" w:type="dxa"/>
              <w:right w:w="108" w:type="dxa"/>
            </w:tcMar>
            <w:tmTcPr id="1764917752" protected="0"/>
          </w:tcPr>
          <w:p>
            <w:pPr>
              <w:pStyle w:val="para0"/>
              <w:spacing/>
              <w:jc w:val="both"/>
              <w:pageBreakBefore/>
              <w:widowControl w:val="0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/>
          </w:p>
        </w:tc>
        <w:tc>
          <w:tcPr>
            <w:tcW w:w="437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/>
              <w:jc w:val="both"/>
              <w:widowControl w:val="0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Объемы и источники финансирования муниципальной программы в целом и с разбивкой по годам ее реализации</w:t>
            </w:r>
            <w:r/>
          </w:p>
        </w:tc>
        <w:tc>
          <w:tcPr>
            <w:tcW w:w="455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64917752" protected="0"/>
          </w:tcPr>
          <w:p>
            <w:pPr>
              <w:pStyle w:val="para17"/>
              <w:spacing/>
              <w:jc w:val="both"/>
              <w:widowControl w:val="0"/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Объем бюджетных ассигнований на реализацию муниципальной программы составляет 133 798,1 тыс. рублей, в том числе по годам:</w:t>
            </w:r>
            <w:r/>
          </w:p>
          <w:p>
            <w:pPr>
              <w:pStyle w:val="para17"/>
              <w:widowControl w:val="0"/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2022г. – 20 225,3 тыс. руб. (МБ);</w:t>
            </w:r>
            <w:r/>
          </w:p>
          <w:p>
            <w:pPr>
              <w:pStyle w:val="para17"/>
              <w:widowControl w:val="0"/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2023г. – 19 484,0 тыс. руб. (МБ);</w:t>
            </w:r>
            <w:r/>
          </w:p>
          <w:p>
            <w:pPr>
              <w:pStyle w:val="para17"/>
              <w:widowControl w:val="0"/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2024г. – 22 755,5 тыс. руб. (МБ);</w:t>
            </w:r>
            <w:r/>
          </w:p>
          <w:p>
            <w:pPr>
              <w:pStyle w:val="para17"/>
              <w:widowControl w:val="0"/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2025г. – </w:t>
            </w:r>
            <w:r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  <w:t>23 779,7</w:t>
            </w: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тыс. руб. (МБ);</w:t>
            </w:r>
            <w:r/>
          </w:p>
          <w:p>
            <w:pPr>
              <w:pStyle w:val="para17"/>
              <w:widowControl w:val="0"/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2026г. </w:t>
            </w:r>
            <w:r/>
            <w:bookmarkStart w:id="2" w:name="__DdeLink__1724_2202940288"/>
            <w:r/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– </w:t>
            </w:r>
            <w:r/>
            <w:bookmarkEnd w:id="2"/>
            <w:r/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23 785,6 тыс. руб. (МБ);</w:t>
            </w:r>
            <w:r/>
          </w:p>
          <w:p>
            <w:pPr>
              <w:pStyle w:val="para17"/>
              <w:widowControl w:val="0"/>
            </w:pPr>
            <w:bookmarkStart w:id="3" w:name="__DdeLink__9414_2341173877"/>
            <w:r/>
            <w:bookmarkStart w:id="4" w:name="__DdeLink__3166_3664300851"/>
            <w:r/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2027г. – 23 768,0 тыс. Руб. (МБ).</w:t>
            </w:r>
            <w:r/>
            <w:bookmarkEnd w:id="3"/>
            <w:r/>
            <w:bookmarkEnd w:id="4"/>
            <w:r/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tmTcPr id="1764917752" protected="0"/>
          </w:tcPr>
          <w:p>
            <w:pPr>
              <w:pStyle w:val="para0"/>
              <w:spacing/>
              <w:jc w:val="both"/>
              <w:widowContro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</w:p>
          <w:p>
            <w:pPr>
              <w:pStyle w:val="para0"/>
              <w:spacing/>
              <w:jc w:val="both"/>
              <w:widowContro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</w:p>
          <w:p>
            <w:pPr>
              <w:pStyle w:val="para0"/>
              <w:spacing/>
              <w:jc w:val="both"/>
              <w:widowContro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</w:p>
          <w:p>
            <w:pPr>
              <w:pStyle w:val="para0"/>
              <w:spacing/>
              <w:jc w:val="both"/>
              <w:widowContro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</w:p>
          <w:p>
            <w:pPr>
              <w:pStyle w:val="para0"/>
              <w:spacing/>
              <w:jc w:val="both"/>
              <w:widowContro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</w:p>
          <w:p>
            <w:pPr>
              <w:pStyle w:val="para0"/>
              <w:spacing/>
              <w:jc w:val="both"/>
              <w:widowContro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</w:p>
          <w:p>
            <w:pPr>
              <w:pStyle w:val="para0"/>
              <w:spacing/>
              <w:jc w:val="both"/>
              <w:widowContro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</w:p>
          <w:p>
            <w:pPr>
              <w:pStyle w:val="para0"/>
              <w:spacing/>
              <w:jc w:val="both"/>
              <w:widowContro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</w:p>
          <w:p>
            <w:pPr>
              <w:pStyle w:val="para0"/>
              <w:spacing/>
              <w:jc w:val="both"/>
              <w:widowControl w:val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</w:r>
          </w:p>
          <w:p>
            <w:pPr>
              <w:pStyle w:val="para0"/>
              <w:spacing/>
              <w:jc w:val="both"/>
              <w:widowControl w:val="0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»;</w:t>
            </w:r>
            <w:r/>
          </w:p>
        </w:tc>
      </w:tr>
    </w:tbl>
    <w:p>
      <w:pPr>
        <w:ind w:firstLine="709"/>
        <w:spacing/>
        <w:jc w:val="both"/>
      </w:pPr>
      <w:r>
        <w:rPr>
          <w:rFonts w:ascii="PT Astra Serif" w:hAnsi="PT Astra Serif"/>
          <w:color w:val="000000"/>
          <w:sz w:val="28"/>
          <w:szCs w:val="28"/>
        </w:rPr>
        <w:t>1.2. Раздел 4 муниципальной программы «Ресурсное обеспечение реализации муниципальной программы «Управление муниципальными финансами Анжеро-Судженского городского округа» изложить в новой редакции согласно приложению к настоящему постановлению.</w:t>
      </w:r>
      <w:r/>
    </w:p>
    <w:p>
      <w:pPr>
        <w:ind w:firstLine="709"/>
        <w:spacing/>
        <w:jc w:val="both"/>
      </w:pPr>
      <w:r>
        <w:rPr>
          <w:color w:val="000000"/>
          <w:sz w:val="28"/>
          <w:szCs w:val="28"/>
        </w:rPr>
        <w:t>1.3. Строку «Мероприятие</w:t>
      </w:r>
      <w:r>
        <w:rPr>
          <w:rFonts w:eastAsia="Calibri"/>
          <w:color w:val="000000"/>
          <w:sz w:val="28"/>
          <w:szCs w:val="28"/>
        </w:rPr>
        <w:t xml:space="preserve"> 2.4. «Мониторинг распределения средств местного бюджета с учетом бюджетной политики города» р</w:t>
      </w:r>
      <w:r>
        <w:rPr>
          <w:color w:val="000000"/>
          <w:sz w:val="28"/>
          <w:szCs w:val="28"/>
        </w:rPr>
        <w:t>аздела 5 «Сведения о планируемых значениях целевых показателей (индикаторов) муниципальной программы (по годам реализации муниципальной программы)» изложить в новой редакции:</w:t>
      </w:r>
      <w:r/>
    </w:p>
    <w:tbl>
      <w:tblPr>
        <w:tblStyle w:val="NormalTable"/>
        <w:name w:val="Таблица3"/>
        <w:tabOrder w:val="0"/>
        <w:jc w:val="center"/>
        <w:tblInd w:w="0" w:type="dxa"/>
        <w:tblW w:w="10208" w:type="dxa"/>
        <w:pPr>
          <w:spacing/>
          <w:jc w:val="center"/>
        </w:pPr>
        <w:tblLook w:val="04A0" w:firstRow="1" w:lastRow="0" w:firstColumn="1" w:lastColumn="0" w:noHBand="0" w:noVBand="1"/>
      </w:tblPr>
      <w:tblGrid>
        <w:gridCol w:w="344"/>
        <w:gridCol w:w="1734"/>
        <w:gridCol w:w="1148"/>
        <w:gridCol w:w="673"/>
        <w:gridCol w:w="1085"/>
        <w:gridCol w:w="900"/>
        <w:gridCol w:w="798"/>
        <w:gridCol w:w="784"/>
        <w:gridCol w:w="683"/>
        <w:gridCol w:w="858"/>
        <w:gridCol w:w="792"/>
        <w:gridCol w:w="409"/>
      </w:tblGrid>
      <w:tr>
        <w:trPr>
          <w:tblHeader w:val="0"/>
          <w:cantSplit w:val="0"/>
          <w:trHeight w:val="0" w:hRule="auto"/>
        </w:trPr>
        <w:tc>
          <w:tcPr>
            <w:tcW w:w="344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«</w:t>
            </w:r>
            <w:r/>
          </w:p>
          <w:p>
            <w:pPr>
              <w:pStyle w:val="para0"/>
              <w:spacing w:after="0" w:beforeAutospacing="1" w:line="120" w:lineRule="atLeast"/>
              <w:jc w:val="center"/>
              <w:widowControl w:val="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</w:r>
          </w:p>
          <w:p>
            <w:pPr>
              <w:pStyle w:val="para0"/>
              <w:spacing w:after="0" w:beforeAutospacing="1" w:line="120" w:lineRule="atLeast"/>
              <w:jc w:val="center"/>
              <w:widowControl w:val="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</w:r>
          </w:p>
        </w:tc>
        <w:tc>
          <w:tcPr>
            <w:tcW w:w="1734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ascii="PT Astra Serif" w:hAnsi="PT Astra Serif" w:eastAsia="Calibri"/>
                <w:color w:val="000000"/>
                <w:sz w:val="18"/>
                <w:szCs w:val="18"/>
              </w:rPr>
              <w:t>Наименование подпрограммы, основного мероприятия / регионального проекта / ведомственного проекта, мероприятия</w:t>
            </w:r>
            <w:r/>
          </w:p>
        </w:tc>
        <w:tc>
          <w:tcPr>
            <w:tcW w:w="1148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Наименование целевого показателя (индикатора)</w:t>
            </w:r>
            <w:r/>
          </w:p>
        </w:tc>
        <w:tc>
          <w:tcPr>
            <w:tcW w:w="673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Единица изме-рения</w:t>
            </w:r>
            <w:r/>
          </w:p>
        </w:tc>
        <w:tc>
          <w:tcPr>
            <w:tcW w:w="1085" w:type="dxa"/>
            <w:vMerge w:val="restart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</w:r>
          </w:p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Плановое значение целевого показателя (индикатора)</w:t>
            </w:r>
            <w:r/>
          </w:p>
        </w:tc>
        <w:tc>
          <w:tcPr>
            <w:tcW w:w="4815" w:type="dxa"/>
            <w:gridSpan w:val="6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64917752" protected="0"/>
          </w:tcPr>
          <w:p>
            <w:pPr>
              <w:pStyle w:val="para0"/>
              <w:ind w:left="454" w:firstLine="0"/>
              <w:spacing w:after="0" w:beforeAutospacing="1" w:line="120" w:lineRule="atLeast"/>
              <w:jc w:val="center"/>
              <w:widowControl w:val="0"/>
            </w:pPr>
            <w:r>
              <w:rPr>
                <w:rFonts w:ascii="PT Astra Serif" w:hAnsi="PT Astra Serif" w:eastAsia="Calibri"/>
                <w:color w:val="000000"/>
                <w:sz w:val="18"/>
                <w:szCs w:val="18"/>
              </w:rPr>
              <w:t>Наименование подпрограммы, основного мероприятия / регионального проекта / ведомственного проекта, мероприятия</w:t>
            </w:r>
            <w:r/>
          </w:p>
        </w:tc>
        <w:tc>
          <w:tcPr>
            <w:tcW w:w="409" w:type="dxa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mTcPr id="1764917752" protected="0"/>
          </w:tcPr>
          <w:p>
            <w:pPr>
              <w:pStyle w:val="para0"/>
              <w:ind w:left="454" w:firstLine="0"/>
              <w:spacing w:after="0" w:beforeAutospacing="1" w:line="120" w:lineRule="atLeast"/>
              <w:jc w:val="center"/>
              <w:widowControl w:val="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44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</w:r>
          </w:p>
        </w:tc>
        <w:tc>
          <w:tcPr>
            <w:tcW w:w="1734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/>
        </w:tc>
        <w:tc>
          <w:tcPr>
            <w:tcW w:w="1148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/>
        </w:tc>
        <w:tc>
          <w:tcPr>
            <w:tcW w:w="673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/>
        </w:tc>
        <w:tc>
          <w:tcPr>
            <w:tcW w:w="1085" w:type="dxa"/>
            <w:vMerge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/>
        </w:tc>
        <w:tc>
          <w:tcPr>
            <w:tcW w:w="900" w:type="dxa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2022 года</w:t>
            </w:r>
            <w:r/>
          </w:p>
        </w:tc>
        <w:tc>
          <w:tcPr>
            <w:tcW w:w="798" w:type="dxa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2023 год</w:t>
            </w:r>
            <w:r/>
          </w:p>
        </w:tc>
        <w:tc>
          <w:tcPr>
            <w:tcW w:w="784" w:type="dxa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2024 год</w:t>
            </w:r>
            <w:r/>
          </w:p>
        </w:tc>
        <w:tc>
          <w:tcPr>
            <w:tcW w:w="683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2025 год</w:t>
            </w:r>
            <w:r/>
          </w:p>
        </w:tc>
        <w:tc>
          <w:tcPr>
            <w:tcW w:w="858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2026 год</w:t>
            </w:r>
            <w:r/>
          </w:p>
        </w:tc>
        <w:tc>
          <w:tcPr>
            <w:tcW w:w="792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2027 год</w:t>
            </w:r>
            <w:r/>
          </w:p>
        </w:tc>
        <w:tc>
          <w:tcPr>
            <w:tcW w:w="409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44" w:type="dxa"/>
            <w:vMerge w:val="restart"/>
            <w:tcMar>
              <w:top w:w="55" w:type="dxa"/>
              <w:left w:w="108" w:type="dxa"/>
              <w:bottom w:w="55" w:type="dxa"/>
              <w:right w:w="108" w:type="dxa"/>
            </w:tcMar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7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eastAsia="Calibri"/>
                <w:color w:val="000000"/>
                <w:sz w:val="18"/>
                <w:szCs w:val="18"/>
              </w:rPr>
              <w:t>Мероприятие 2.4. Мониторинг распределения средств местного бюджета с учетом бюджетной политики города</w:t>
            </w:r>
            <w:r/>
          </w:p>
        </w:tc>
        <w:tc>
          <w:tcPr>
            <w:tcW w:w="11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Количество </w:t>
            </w:r>
            <w:r>
              <w:rPr>
                <w:rFonts w:ascii="PT Astra Serif" w:hAnsi="PT Astra Serif" w:eastAsia="Calibri"/>
                <w:color w:val="000000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рганов местного самоуправления муниципального образования, осуществляющих деятельность на территории муниципального образования, (ПЭ4)</w:t>
            </w:r>
            <w:r/>
          </w:p>
        </w:tc>
        <w:tc>
          <w:tcPr>
            <w:tcW w:w="67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</w:rPr>
              <w:t>ед.</w:t>
            </w:r>
            <w:r/>
          </w:p>
        </w:tc>
        <w:tc>
          <w:tcPr>
            <w:tcW w:w="10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</w:rPr>
              <w:t>Х</w:t>
            </w:r>
            <w:r/>
          </w:p>
        </w:tc>
        <w:tc>
          <w:tcPr>
            <w:tcW w:w="900" w:type="dxa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</w:rPr>
              <w:t>Х</w:t>
            </w:r>
            <w:r/>
          </w:p>
        </w:tc>
        <w:tc>
          <w:tcPr>
            <w:tcW w:w="798" w:type="dxa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color w:val="000000"/>
              </w:rPr>
              <w:t>3</w:t>
            </w:r>
            <w:r/>
          </w:p>
        </w:tc>
        <w:tc>
          <w:tcPr>
            <w:tcW w:w="784" w:type="dxa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</w:rPr>
              <w:t>3</w:t>
            </w:r>
            <w:r/>
          </w:p>
        </w:tc>
        <w:tc>
          <w:tcPr>
            <w:tcW w:w="683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</w:rPr>
              <w:t>3</w:t>
            </w:r>
            <w:r/>
          </w:p>
        </w:tc>
        <w:tc>
          <w:tcPr>
            <w:tcW w:w="858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  <w:tabs defTabSz="708">
                <w:tab w:val="left" w:pos="795" w:leader="none"/>
                <w:tab w:val="left" w:pos="2610" w:leader="none"/>
                <w:tab w:val="left" w:pos="2910" w:leader="none"/>
                <w:tab w:val="left" w:pos="3045" w:leader="none"/>
              </w:tabs>
            </w:pPr>
            <w:r>
              <w:rPr>
                <w:rFonts w:ascii="PT Astra Serif" w:hAnsi="PT Astra Serif"/>
                <w:color w:val="000000"/>
              </w:rPr>
              <w:t>3</w:t>
            </w:r>
            <w:r/>
          </w:p>
        </w:tc>
        <w:tc>
          <w:tcPr>
            <w:tcW w:w="792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64917752" protected="0"/>
          </w:tcPr>
          <w:p>
            <w:pPr>
              <w:pStyle w:val="para19"/>
              <w:ind w:right="-108" w:firstLine="0"/>
              <w:spacing w:before="0" w:after="200" w:beforeAutospacing="0" w:afterAutospacing="0" w:line="120" w:lineRule="atLeast"/>
              <w:contextualSpacing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19"/>
              <w:ind w:right="-108" w:firstLine="0"/>
              <w:spacing w:before="0" w:after="200" w:beforeAutospacing="0" w:afterAutospacing="0" w:line="120" w:lineRule="atLeast"/>
              <w:contextualSpacing/>
              <w:jc w:val="center"/>
              <w:widowControl w:val="0"/>
            </w:pPr>
            <w:r>
              <w:rPr>
                <w:rFonts w:ascii="PT Astra Serif" w:hAnsi="PT Astra Serif"/>
                <w:color w:val="000000"/>
              </w:rPr>
              <w:t>3</w:t>
            </w:r>
            <w:r/>
          </w:p>
        </w:tc>
        <w:tc>
          <w:tcPr>
            <w:tcW w:w="409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mTcPr id="1764917752" protected="0"/>
          </w:tcPr>
          <w:p>
            <w:pPr>
              <w:pStyle w:val="para19"/>
              <w:ind w:right="-108" w:firstLine="0"/>
              <w:spacing w:before="0" w:after="200" w:beforeAutospacing="0" w:afterAutospacing="0" w:line="120" w:lineRule="atLeast"/>
              <w:contextualSpacing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44" w:type="dxa"/>
            <w:vMerge/>
            <w:tcMar>
              <w:top w:w="55" w:type="dxa"/>
              <w:left w:w="108" w:type="dxa"/>
              <w:bottom w:w="55" w:type="dxa"/>
              <w:right w:w="108" w:type="dxa"/>
            </w:tcMar>
            <w:tmTcPr id="1764917752" protected="0"/>
          </w:tcPr>
          <w:p/>
        </w:tc>
        <w:tc>
          <w:tcPr>
            <w:tcW w:w="17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/>
        </w:tc>
        <w:tc>
          <w:tcPr>
            <w:tcW w:w="114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Численность </w:t>
            </w:r>
            <w:r>
              <w:rPr>
                <w:rFonts w:ascii="PT Astra Serif" w:hAnsi="PT Astra Serif" w:eastAsia="Calibri"/>
                <w:color w:val="000000"/>
                <w:sz w:val="18"/>
                <w:szCs w:val="18"/>
              </w:rPr>
              <w:t>муниципальных учреждений (казенных, бюджетных, автономных), финансируемых из местного бюджета Анжеро-Судженского городского округа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PT Astra Serif" w:hAnsi="PT Astra Serif"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(ПЭ5).</w:t>
            </w:r>
            <w:r/>
          </w:p>
        </w:tc>
        <w:tc>
          <w:tcPr>
            <w:tcW w:w="67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</w:rPr>
              <w:t>ед.</w:t>
            </w:r>
            <w:r/>
          </w:p>
        </w:tc>
        <w:tc>
          <w:tcPr>
            <w:tcW w:w="1085" w:type="dxa"/>
            <w:vAlign w:val="center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</w:rPr>
              <w:t>Х</w:t>
            </w:r>
            <w:r/>
          </w:p>
        </w:tc>
        <w:tc>
          <w:tcPr>
            <w:tcW w:w="900" w:type="dxa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</w:rPr>
              <w:t>Х</w:t>
            </w:r>
            <w:r/>
          </w:p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</w:tc>
        <w:tc>
          <w:tcPr>
            <w:tcW w:w="798" w:type="dxa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</w:rPr>
              <w:t>77</w:t>
            </w:r>
            <w:r/>
          </w:p>
        </w:tc>
        <w:tc>
          <w:tcPr>
            <w:tcW w:w="784" w:type="dxa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</w:rPr>
              <w:t>79</w:t>
            </w:r>
            <w:r/>
          </w:p>
        </w:tc>
        <w:tc>
          <w:tcPr>
            <w:tcW w:w="683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</w:rPr>
              <w:t>80</w:t>
            </w:r>
            <w:r/>
          </w:p>
        </w:tc>
        <w:tc>
          <w:tcPr>
            <w:tcW w:w="858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  <w:tabs defTabSz="708">
                <w:tab w:val="left" w:pos="795" w:leader="none"/>
                <w:tab w:val="left" w:pos="2610" w:leader="none"/>
                <w:tab w:val="left" w:pos="2910" w:leader="none"/>
                <w:tab w:val="left" w:pos="3045" w:leader="none"/>
              </w:tabs>
            </w:pPr>
            <w:r>
              <w:rPr>
                <w:rFonts w:ascii="PT Astra Serif" w:hAnsi="PT Astra Serif"/>
                <w:color w:val="000000"/>
              </w:rPr>
              <w:t>79</w:t>
            </w:r>
            <w:r/>
          </w:p>
        </w:tc>
        <w:tc>
          <w:tcPr>
            <w:tcW w:w="792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</w:rPr>
              <w:t>79</w:t>
            </w:r>
            <w:r/>
          </w:p>
        </w:tc>
        <w:tc>
          <w:tcPr>
            <w:tcW w:w="409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0"/>
              <w:spacing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»;</w:t>
            </w:r>
            <w:r/>
          </w:p>
        </w:tc>
      </w:tr>
    </w:tbl>
    <w:p>
      <w:pPr>
        <w:ind w:firstLine="709"/>
        <w:spacing/>
        <w:jc w:val="both"/>
      </w:pPr>
      <w:bookmarkStart w:id="5" w:name="__DdeLink__4628_3024160849"/>
      <w:r/>
      <w:bookmarkEnd w:id="5"/>
      <w:r/>
      <w:r>
        <w:rPr>
          <w:color w:val="000000"/>
          <w:sz w:val="28"/>
          <w:szCs w:val="28"/>
        </w:rPr>
        <w:t>1.4. Строку «Мероприятие</w:t>
      </w:r>
      <w:r>
        <w:rPr>
          <w:rFonts w:eastAsia="Calibri"/>
          <w:color w:val="000000"/>
          <w:sz w:val="28"/>
          <w:szCs w:val="28"/>
        </w:rPr>
        <w:t xml:space="preserve"> 2.4. «Мониторинг распределения средств местного бюджета с учетом бюджетной политики города» р</w:t>
      </w:r>
      <w:r>
        <w:rPr>
          <w:color w:val="000000"/>
          <w:sz w:val="28"/>
          <w:szCs w:val="28"/>
        </w:rPr>
        <w:t>аздела 9 «Сведения о планируемых значениях целевых показателей (индикаторов) Муниципальной программы на 2025 год» изложить в новой редакции:</w:t>
      </w:r>
      <w:r/>
    </w:p>
    <w:tbl>
      <w:tblPr>
        <w:tblStyle w:val="NormalTable"/>
        <w:name w:val="Таблица4"/>
        <w:tabOrder w:val="0"/>
        <w:jc w:val="center"/>
        <w:tblInd w:w="0" w:type="dxa"/>
        <w:tblW w:w="10298" w:type="dxa"/>
        <w:pPr>
          <w:spacing/>
          <w:jc w:val="center"/>
        </w:pPr>
        <w:tblLook w:val="04A0" w:firstRow="1" w:lastRow="0" w:firstColumn="1" w:lastColumn="0" w:noHBand="0" w:noVBand="1"/>
      </w:tblPr>
      <w:tblGrid>
        <w:gridCol w:w="450"/>
        <w:gridCol w:w="2124"/>
        <w:gridCol w:w="1980"/>
        <w:gridCol w:w="712"/>
        <w:gridCol w:w="1018"/>
        <w:gridCol w:w="1067"/>
        <w:gridCol w:w="1134"/>
        <w:gridCol w:w="1359"/>
        <w:gridCol w:w="454"/>
      </w:tblGrid>
      <w:tr>
        <w:trPr>
          <w:tblHeader w:val="0"/>
          <w:cantSplit w:val="0"/>
          <w:trHeight w:val="0" w:hRule="auto"/>
        </w:trPr>
        <w:tc>
          <w:tcPr>
            <w:tcW w:w="450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«</w:t>
            </w:r>
            <w:r/>
          </w:p>
        </w:tc>
        <w:tc>
          <w:tcPr>
            <w:tcW w:w="2124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ascii="PT Astra Serif" w:hAnsi="PT Astra Serif" w:eastAsia="Calibri"/>
                <w:color w:val="000000"/>
                <w:sz w:val="18"/>
                <w:szCs w:val="18"/>
              </w:rPr>
              <w:t>Наименование подпрограммы, основного мероприятия / регионального проекта / ведомственного проекта, мероприятия</w:t>
            </w:r>
            <w:r/>
          </w:p>
        </w:tc>
        <w:tc>
          <w:tcPr>
            <w:tcW w:w="1980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Наименование целевого показателя (индикатора)</w:t>
            </w:r>
            <w:r/>
          </w:p>
        </w:tc>
        <w:tc>
          <w:tcPr>
            <w:tcW w:w="712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Единица изме-рения</w:t>
            </w:r>
            <w:r/>
          </w:p>
        </w:tc>
        <w:tc>
          <w:tcPr>
            <w:tcW w:w="4578" w:type="dxa"/>
            <w:gridSpan w:val="4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top w:val="single" w:sz="2" w:space="0" w:color="000000" tmln="5, 20, 20, 0, 0"/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color w:val="000000"/>
                <w:sz w:val="18"/>
                <w:szCs w:val="18"/>
              </w:rPr>
              <w:t>Плановое значение целевого показателя (индикатора)</w:t>
            </w:r>
            <w:r/>
          </w:p>
        </w:tc>
        <w:tc>
          <w:tcPr>
            <w:tcW w:w="454" w:type="dxa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50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</w:r>
          </w:p>
        </w:tc>
        <w:tc>
          <w:tcPr>
            <w:tcW w:w="2124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/>
        </w:tc>
        <w:tc>
          <w:tcPr>
            <w:tcW w:w="1980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/>
        </w:tc>
        <w:tc>
          <w:tcPr>
            <w:tcW w:w="712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/>
        </w:tc>
        <w:tc>
          <w:tcPr>
            <w:tcW w:w="1018" w:type="dxa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color w:val="000000"/>
                <w:sz w:val="18"/>
                <w:szCs w:val="18"/>
              </w:rPr>
              <w:t>Январь-март</w:t>
            </w:r>
            <w:r/>
          </w:p>
        </w:tc>
        <w:tc>
          <w:tcPr>
            <w:tcW w:w="1067" w:type="dxa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color w:val="000000"/>
                <w:sz w:val="18"/>
                <w:szCs w:val="18"/>
              </w:rPr>
              <w:t>Январь-июнь</w:t>
            </w:r>
            <w:r/>
          </w:p>
        </w:tc>
        <w:tc>
          <w:tcPr>
            <w:tcW w:w="1134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color w:val="000000"/>
                <w:sz w:val="18"/>
                <w:szCs w:val="18"/>
              </w:rPr>
              <w:t>Январь-сентябрь</w:t>
            </w:r>
            <w:r/>
          </w:p>
        </w:tc>
        <w:tc>
          <w:tcPr>
            <w:tcW w:w="1359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color w:val="000000"/>
                <w:sz w:val="18"/>
                <w:szCs w:val="18"/>
              </w:rPr>
              <w:t>Январь-декабрь</w:t>
            </w:r>
            <w:r/>
          </w:p>
        </w:tc>
        <w:tc>
          <w:tcPr>
            <w:tcW w:w="454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50" w:type="dxa"/>
            <w:vMerge w:val="restart"/>
            <w:tcMar>
              <w:top w:w="55" w:type="dxa"/>
              <w:left w:w="108" w:type="dxa"/>
              <w:bottom w:w="55" w:type="dxa"/>
              <w:right w:w="108" w:type="dxa"/>
            </w:tcMar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1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eastAsia="Calibri"/>
                <w:color w:val="000000"/>
                <w:sz w:val="18"/>
                <w:szCs w:val="18"/>
              </w:rPr>
              <w:t>Мероприятие 2.4. Мониторинг распределения средств местного бюджета с учетом бюджетной политики города</w:t>
            </w:r>
            <w:r/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Количество </w:t>
            </w:r>
            <w:r>
              <w:rPr>
                <w:rFonts w:ascii="PT Astra Serif" w:hAnsi="PT Astra Serif" w:eastAsia="Calibri"/>
                <w:color w:val="000000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рганов местного самоуправления муниципального образования, осуществляющих деятельность на территории муниципального образования, (ПЭ4)</w:t>
            </w:r>
            <w:r/>
          </w:p>
        </w:tc>
        <w:tc>
          <w:tcPr>
            <w:tcW w:w="71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</w:rPr>
              <w:t>ед.</w:t>
            </w:r>
            <w:r/>
          </w:p>
        </w:tc>
        <w:tc>
          <w:tcPr>
            <w:tcW w:w="1018" w:type="dxa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color w:val="000000"/>
                <w:sz w:val="20"/>
                <w:szCs w:val="20"/>
              </w:rPr>
              <w:t>Х</w:t>
            </w:r>
            <w:r/>
          </w:p>
        </w:tc>
        <w:tc>
          <w:tcPr>
            <w:tcW w:w="1067" w:type="dxa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color w:val="000000"/>
                <w:sz w:val="20"/>
                <w:szCs w:val="20"/>
              </w:rPr>
              <w:t>Х</w:t>
            </w:r>
            <w:r/>
          </w:p>
        </w:tc>
        <w:tc>
          <w:tcPr>
            <w:tcW w:w="1134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/>
              <w:jc w:val="center"/>
              <w:widowControl w:val="0"/>
            </w:pPr>
            <w:r>
              <w:rPr>
                <w:color w:val="000000"/>
                <w:sz w:val="20"/>
                <w:szCs w:val="20"/>
              </w:rPr>
              <w:t>Х</w:t>
            </w:r>
            <w:r/>
          </w:p>
        </w:tc>
        <w:tc>
          <w:tcPr>
            <w:tcW w:w="1359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/>
              <w:jc w:val="center"/>
              <w:widowControl w:val="0"/>
            </w:pPr>
            <w:r>
              <w:rPr>
                <w:color w:val="000000"/>
                <w:sz w:val="20"/>
                <w:szCs w:val="20"/>
              </w:rPr>
              <w:t>3</w:t>
            </w:r>
            <w:r/>
          </w:p>
        </w:tc>
        <w:tc>
          <w:tcPr>
            <w:tcW w:w="454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mTcPr id="1764917752" protected="0"/>
          </w:tcPr>
          <w:p>
            <w:pPr>
              <w:pStyle w:val="para0"/>
              <w:spacing w:after="0" w:beforeAutospacing="1"/>
              <w:jc w:val="center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50" w:type="dxa"/>
            <w:vMerge/>
            <w:tcMar>
              <w:top w:w="55" w:type="dxa"/>
              <w:left w:w="108" w:type="dxa"/>
              <w:bottom w:w="55" w:type="dxa"/>
              <w:right w:w="108" w:type="dxa"/>
            </w:tcMar>
            <w:tmTcPr id="1764917752" protected="0"/>
          </w:tcPr>
          <w:p/>
        </w:tc>
        <w:tc>
          <w:tcPr>
            <w:tcW w:w="212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/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Численность </w:t>
            </w:r>
            <w:r>
              <w:rPr>
                <w:rFonts w:ascii="PT Astra Serif" w:hAnsi="PT Astra Serif" w:eastAsia="Calibri"/>
                <w:color w:val="000000"/>
                <w:sz w:val="18"/>
                <w:szCs w:val="18"/>
              </w:rPr>
              <w:t>муниципальных учреждений (казенных, бюджетных, автономных), финансируемых из местного бюджета Анжеро-Судженского городского округа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PT Astra Serif" w:hAnsi="PT Astra Serif" w:eastAsia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(ПЭ5).</w:t>
            </w:r>
            <w:r/>
          </w:p>
        </w:tc>
        <w:tc>
          <w:tcPr>
            <w:tcW w:w="71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</w:r>
          </w:p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</w:rPr>
              <w:t>ед.</w:t>
            </w:r>
            <w:r/>
          </w:p>
        </w:tc>
        <w:tc>
          <w:tcPr>
            <w:tcW w:w="1018" w:type="dxa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color w:val="000000"/>
                <w:sz w:val="20"/>
                <w:szCs w:val="20"/>
              </w:rPr>
              <w:t>Х</w:t>
            </w:r>
            <w:r/>
          </w:p>
        </w:tc>
        <w:tc>
          <w:tcPr>
            <w:tcW w:w="1067" w:type="dxa"/>
            <w:vAlign w:val="center"/>
            <w:shd w:val="none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line="120" w:lineRule="atLeast"/>
              <w:jc w:val="center"/>
              <w:widowControl w:val="0"/>
            </w:pPr>
            <w:r>
              <w:rPr>
                <w:color w:val="000000"/>
                <w:sz w:val="20"/>
                <w:szCs w:val="20"/>
              </w:rPr>
              <w:t>Х</w:t>
            </w:r>
            <w:r/>
          </w:p>
        </w:tc>
        <w:tc>
          <w:tcPr>
            <w:tcW w:w="1134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/>
              <w:jc w:val="center"/>
              <w:widowControl w:val="0"/>
            </w:pPr>
            <w:r>
              <w:rPr>
                <w:color w:val="000000"/>
                <w:sz w:val="20"/>
                <w:szCs w:val="20"/>
              </w:rPr>
              <w:t>Х</w:t>
            </w:r>
            <w:r/>
          </w:p>
        </w:tc>
        <w:tc>
          <w:tcPr>
            <w:tcW w:w="1359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cBorders>
              <w:left w:val="single" w:sz="2" w:space="0" w:color="000000" tmln="5, 20, 20, 0, 0"/>
              <w:bottom w:val="single" w:sz="2" w:space="0" w:color="000000" tmln="5, 20, 20, 0, 0"/>
              <w:right w:val="single" w:sz="2" w:space="0" w:color="000000" tmln="5, 20, 20, 0, 0"/>
            </w:tcBorders>
            <w:tmTcPr id="1764917752" protected="0"/>
          </w:tcPr>
          <w:p>
            <w:pPr>
              <w:pStyle w:val="para0"/>
              <w:spacing w:after="0" w:beforeAutospacing="1"/>
              <w:jc w:val="center"/>
              <w:widowControl w:val="0"/>
            </w:pPr>
            <w:r>
              <w:rPr>
                <w:color w:val="000000"/>
                <w:sz w:val="20"/>
                <w:szCs w:val="20"/>
              </w:rPr>
              <w:t>80</w:t>
            </w:r>
            <w:r/>
          </w:p>
        </w:tc>
        <w:tc>
          <w:tcPr>
            <w:tcW w:w="454" w:type="dxa"/>
            <w:vAlign w:val="center"/>
            <w:tcMar>
              <w:top w:w="55" w:type="dxa"/>
              <w:left w:w="108" w:type="dxa"/>
              <w:bottom w:w="55" w:type="dxa"/>
              <w:right w:w="108" w:type="dxa"/>
            </w:tcMar>
            <w:tmTcPr id="1764917752" protected="0"/>
          </w:tcPr>
          <w:p>
            <w:pPr>
              <w:pStyle w:val="para0"/>
              <w:spacing w:after="0" w:beforeAutospacing="1"/>
              <w:jc w:val="center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para0"/>
              <w:spacing w:after="0" w:beforeAutospacing="1"/>
              <w:jc w:val="center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para0"/>
              <w:spacing w:after="0" w:beforeAutospacing="1"/>
              <w:jc w:val="center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para0"/>
              <w:spacing w:after="0" w:beforeAutospacing="1"/>
              <w:jc w:val="center"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para0"/>
              <w:spacing w:after="0" w:beforeAutospacing="1"/>
              <w:jc w:val="center"/>
              <w:widowControl w:val="0"/>
            </w:pPr>
            <w:r>
              <w:rPr>
                <w:color w:val="000000"/>
                <w:sz w:val="20"/>
                <w:szCs w:val="20"/>
              </w:rPr>
              <w:t>»;</w:t>
            </w:r>
            <w:r/>
          </w:p>
        </w:tc>
      </w:tr>
    </w:tbl>
    <w:p>
      <w:pPr>
        <w:ind w:firstLine="709"/>
        <w: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</w:r>
    </w:p>
    <w:p>
      <w:pPr>
        <w:ind w:firstLine="709"/>
        <w:spacing/>
        <w:jc w:val="both"/>
      </w:pPr>
      <w:bookmarkStart w:id="6" w:name="__DdeLink__4607_3024160849"/>
      <w:r/>
      <w:r>
        <w:rPr>
          <w:rFonts w:ascii="PT Astra Serif" w:hAnsi="PT Astra Serif"/>
          <w:color w:val="000000"/>
          <w:sz w:val="28"/>
          <w:szCs w:val="28"/>
        </w:rPr>
        <w:t>2. Ответственному исполнителю (координатору) муниципальной</w:t>
      </w:r>
      <w:r/>
      <w:bookmarkEnd w:id="6"/>
      <w:r/>
      <w:r>
        <w:rPr>
          <w:rFonts w:ascii="PT Astra Serif" w:hAnsi="PT Astra Serif"/>
          <w:color w:val="000000"/>
          <w:sz w:val="28"/>
          <w:szCs w:val="28"/>
        </w:rPr>
        <w:t xml:space="preserve"> программы разместить настоящее постановление в информационно – телекоммуникационной сети «Интернет» на официальных сайтах:</w:t>
      </w:r>
      <w:r/>
    </w:p>
    <w:p>
      <w:pPr>
        <w:ind w:firstLine="709"/>
        <w:spacing/>
        <w:jc w:val="both"/>
        <w:tabs defTabSz="708">
          <w:tab w:val="left" w:pos="-6663" w:leader="none"/>
        </w:tabs>
      </w:pPr>
      <w:r>
        <w:rPr>
          <w:rFonts w:ascii="PT Astra Serif" w:hAnsi="PT Astra Serif"/>
          <w:color w:val="000000"/>
          <w:sz w:val="28"/>
          <w:szCs w:val="28"/>
        </w:rPr>
        <w:t xml:space="preserve">2.1.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</w:t>
      </w:r>
      <w:hyperlink r:id="rId9" w:history="1">
        <w:r>
          <w:rPr>
            <w:rFonts w:ascii="PT Astra Serif" w:hAnsi="PT Astra Serif"/>
            <w:color w:val="000000"/>
            <w:sz w:val="28"/>
            <w:szCs w:val="28"/>
          </w:rPr>
          <w:t>http://gasu.gov.ru</w:t>
        </w:r>
      </w:hyperlink>
      <w:r>
        <w:rPr>
          <w:rStyle w:val="char1"/>
          <w:rFonts w:ascii="PT Astra Serif" w:hAnsi="PT Astra Serif"/>
          <w:color w:val="000000"/>
          <w:sz w:val="28"/>
          <w:szCs w:val="28"/>
          <w:u w:color="auto" w:val="none"/>
        </w:rPr>
        <w:t>.</w:t>
      </w:r>
      <w:r/>
    </w:p>
    <w:p>
      <w:pPr>
        <w:ind w:firstLine="709"/>
        <w:spacing/>
        <w:jc w:val="both"/>
        <w:tabs defTabSz="708">
          <w:tab w:val="left" w:pos="-6663" w:leader="none"/>
        </w:tabs>
      </w:pPr>
      <w:r>
        <w:rPr>
          <w:rFonts w:ascii="PT Astra Serif" w:hAnsi="PT Astra Serif"/>
          <w:color w:val="000000"/>
          <w:sz w:val="28"/>
          <w:szCs w:val="28"/>
        </w:rPr>
        <w:t xml:space="preserve">2.2. Анжеро-Судженского городского округа, электронный адрес: </w:t>
      </w:r>
      <w:hyperlink r:id="rId10" w:history="1">
        <w:r>
          <w:rPr>
            <w:rFonts w:ascii="PT Astra Serif" w:hAnsi="PT Astra Serif"/>
            <w:color w:val="000000"/>
            <w:sz w:val="28"/>
            <w:szCs w:val="28"/>
            <w:lang w:val="en-us"/>
          </w:rPr>
          <w:t>www</w:t>
        </w:r>
        <w:r>
          <w:rPr>
            <w:rFonts w:ascii="PT Astra Serif" w:hAnsi="PT Astra Serif"/>
            <w:color w:val="000000"/>
            <w:sz w:val="28"/>
            <w:szCs w:val="28"/>
          </w:rPr>
          <w:t>.</w:t>
        </w:r>
        <w:r>
          <w:rPr>
            <w:rFonts w:ascii="PT Astra Serif" w:hAnsi="PT Astra Serif"/>
            <w:color w:val="000000"/>
            <w:sz w:val="28"/>
            <w:szCs w:val="28"/>
            <w:lang w:val="en-us"/>
          </w:rPr>
          <w:t>anzhero</w:t>
        </w:r>
        <w:r>
          <w:rPr>
            <w:rFonts w:ascii="PT Astra Serif" w:hAnsi="PT Astra Serif"/>
            <w:color w:val="000000"/>
            <w:sz w:val="28"/>
            <w:szCs w:val="28"/>
          </w:rPr>
          <w:t>.</w:t>
        </w:r>
        <w:r>
          <w:rPr>
            <w:rFonts w:ascii="PT Astra Serif" w:hAnsi="PT Astra Serif"/>
            <w:color w:val="000000"/>
            <w:sz w:val="28"/>
            <w:szCs w:val="28"/>
            <w:lang w:val="en-us"/>
          </w:rPr>
          <w:t>ru</w:t>
        </w:r>
      </w:hyperlink>
      <w:r>
        <w:rPr>
          <w:rFonts w:ascii="PT Astra Serif" w:hAnsi="PT Astra Serif"/>
          <w:color w:val="000000"/>
          <w:sz w:val="28"/>
          <w:szCs w:val="28"/>
        </w:rPr>
        <w:t>.</w:t>
      </w:r>
      <w:r/>
    </w:p>
    <w:p>
      <w:pPr>
        <w:ind w:firstLine="709"/>
        <w:spacing/>
        <w:jc w:val="both"/>
        <w:tabs defTabSz="708">
          <w:tab w:val="left" w:pos="-6663" w:leader="none"/>
        </w:tabs>
      </w:pPr>
      <w:r>
        <w:rPr>
          <w:rFonts w:ascii="PT Astra Serif" w:hAnsi="PT Astra Serif"/>
          <w:color w:val="000000"/>
          <w:sz w:val="28"/>
          <w:szCs w:val="28"/>
        </w:rPr>
        <w:t>3. Опубликовать настоящее постановление в массовой газете Анжеро-Судженского городского округа «Наш город».</w:t>
      </w:r>
      <w:r/>
    </w:p>
    <w:p>
      <w:pPr>
        <w:ind w:firstLine="709"/>
        <w:spacing/>
        <w:jc w:val="both"/>
      </w:pPr>
      <w:r>
        <w:rPr>
          <w:rFonts w:ascii="PT Astra Serif" w:hAnsi="PT Astra Serif"/>
          <w:color w:val="000000"/>
          <w:sz w:val="28"/>
          <w:szCs w:val="28"/>
        </w:rPr>
        <w:t>4. Постановление вступает в силу после его официального опубликования.</w:t>
      </w:r>
      <w:r/>
    </w:p>
    <w:p>
      <w:pPr>
        <w:ind w:firstLine="709"/>
        <w:spacing/>
        <w:jc w:val="both"/>
      </w:pPr>
      <w:r>
        <w:rPr>
          <w:rFonts w:ascii="PT Astra Serif" w:hAnsi="PT Astra Serif"/>
          <w:color w:val="000000"/>
          <w:sz w:val="28"/>
          <w:szCs w:val="28"/>
        </w:rPr>
        <w:t>5. Контроль за исполнением постановления возложить на главу городского округа.</w:t>
      </w:r>
      <w:r/>
    </w:p>
    <w:p>
      <w:pPr>
        <w:ind w:firstLine="709"/>
        <w: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ind w:firstLine="709"/>
        <w: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r>
        <w:rPr>
          <w:color w:val="000000"/>
          <w:sz w:val="28"/>
          <w:szCs w:val="28"/>
        </w:rPr>
        <w:t>Глава городского округа</w:t>
        <w:tab/>
        <w:tab/>
        <w:tab/>
        <w:tab/>
        <w:tab/>
        <w:t xml:space="preserve">         </w:t>
      </w:r>
      <w:r/>
      <w:bookmarkStart w:id="7" w:name="_GoBack"/>
      <w:r/>
      <w:r>
        <w:rPr>
          <w:color w:val="000000"/>
          <w:sz w:val="28"/>
          <w:szCs w:val="28"/>
        </w:rPr>
        <w:t xml:space="preserve"> </w:t>
      </w:r>
      <w:r/>
      <w:bookmarkEnd w:id="7"/>
      <w:r/>
      <w:r>
        <w:rPr>
          <w:color w:val="000000"/>
          <w:sz w:val="28"/>
          <w:szCs w:val="28"/>
        </w:rPr>
        <w:t xml:space="preserve">      Д.В. Ажичаков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1"/>
          <w:type w:val="nextPage"/>
          <w:pgSz w:h="16838" w:w="11906"/>
          <w:pgMar w:left="1701" w:top="1700" w:right="850" w:bottom="1134" w:header="1134" w:footer="0"/>
          <w:paperSrc w:first="0" w:other="0" a="0" b="0"/>
          <w:pgNumType w:fmt="decimal"/>
          <w:titlePg/>
          <w:tmGutter w:val="3"/>
          <w:mirrorMargins w:val="0"/>
          <w:tmSection w:h="-1">
            <w:tmHeader w:id="0" w:h="0" edge="1134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left="394"/>
        <w:spacing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ind w:left="394"/>
        <w:spacing/>
        <w:jc w:val="right"/>
      </w:pPr>
      <w:r>
        <w:rPr>
          <w:rFonts w:eastAsia="Calibri"/>
          <w:color w:val="000000"/>
          <w:sz w:val="28"/>
          <w:szCs w:val="28"/>
        </w:rPr>
        <w:t>Приложение</w:t>
      </w:r>
      <w:r/>
    </w:p>
    <w:p>
      <w:pPr>
        <w:ind w:left="394"/>
        <w:spacing/>
        <w:jc w:val="right"/>
      </w:pPr>
      <w:r>
        <w:rPr>
          <w:rFonts w:eastAsia="Calibri"/>
          <w:bCs/>
          <w:color w:val="000000"/>
          <w:sz w:val="28"/>
          <w:szCs w:val="28"/>
          <w:lang w:eastAsia="en-us"/>
        </w:rPr>
        <w:t>к постановлению администрации</w:t>
      </w:r>
      <w:r/>
    </w:p>
    <w:p>
      <w:pPr>
        <w:ind w:left="394"/>
        <w:spacing/>
        <w:jc w:val="right"/>
      </w:pPr>
      <w:r>
        <w:rPr>
          <w:rFonts w:eastAsia="Calibri"/>
          <w:bCs/>
          <w:color w:val="000000"/>
          <w:sz w:val="28"/>
          <w:szCs w:val="28"/>
          <w:lang w:eastAsia="en-us"/>
        </w:rPr>
        <w:t>Анжеро-Судженского городского округа</w:t>
      </w:r>
      <w:r/>
    </w:p>
    <w:p>
      <w:pPr>
        <w:spacing/>
        <w:jc w:val="right"/>
      </w:pPr>
      <w:r>
        <w:rPr>
          <w:rFonts w:eastAsia="Calibri"/>
          <w:color w:val="000000"/>
          <w:sz w:val="28"/>
          <w:szCs w:val="28"/>
          <w:lang w:eastAsia="en-us"/>
        </w:rPr>
        <w:t xml:space="preserve">от _____________________№ ________ </w:t>
      </w:r>
      <w:r/>
    </w:p>
    <w:p>
      <w:pPr>
        <w: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para19"/>
        <w:numPr>
          <w:ilvl w:val="0"/>
          <w:numId w:val="1"/>
        </w:numPr>
        <w:ind w:left="394" w:hanging="360"/>
        <w:spacing w:before="280" w:after="280" w:line="113" w:lineRule="atLeast"/>
        <w:jc w:val="center"/>
      </w:pPr>
      <w:r>
        <w:rPr>
          <w:b/>
          <w:color w:val="000000"/>
          <w:sz w:val="28"/>
          <w:szCs w:val="28"/>
        </w:rPr>
        <w:t>Ресурсное обеспечение реализации муниципальной программы</w:t>
      </w:r>
      <w:r/>
    </w:p>
    <w:p>
      <w:pPr>
        <w:pStyle w:val="para19"/>
        <w:ind w:left="394"/>
        <w:spacing w:before="280" w:after="280" w:line="113" w:lineRule="atLeast"/>
        <w:jc w:val="center"/>
      </w:pPr>
      <w:r>
        <w:rPr>
          <w:b/>
          <w:i/>
          <w:color w:val="000000"/>
          <w:sz w:val="28"/>
        </w:rPr>
        <w:t>«Управление муниципальными финансами Анжеро-Судженского городского округа»</w:t>
      </w:r>
      <w:r/>
    </w:p>
    <w:p>
      <w:pPr>
        <w:pStyle w:val="para19"/>
        <w:ind w:left="394"/>
        <w:spacing w:before="280" w:after="280" w:line="113" w:lineRule="atLeast"/>
        <w:jc w:val="center"/>
        <w:rPr>
          <w:b/>
          <w:i/>
          <w:sz w:val="28"/>
        </w:rPr>
      </w:pPr>
      <w:r>
        <w:rPr>
          <w:b/>
          <w:i/>
          <w:sz w:val="28"/>
        </w:rPr>
      </w:r>
    </w:p>
    <w:tbl>
      <w:tblPr>
        <w:tblStyle w:val="NormalTable"/>
        <w:name w:val="Таблица5"/>
        <w:tabOrder w:val="0"/>
        <w:jc w:val="left"/>
        <w:tblInd w:w="795" w:type="dxa"/>
        <w:tblW w:w="14083" w:type="dxa"/>
        <w:pPr>
          <w:ind w:left="795"/>
        </w:pPr>
        <w:tblLook w:val="04A0" w:firstRow="1" w:lastRow="0" w:firstColumn="1" w:lastColumn="0" w:noHBand="0" w:noVBand="1"/>
      </w:tblPr>
      <w:tblGrid>
        <w:gridCol w:w="3509"/>
        <w:gridCol w:w="1471"/>
        <w:gridCol w:w="1532"/>
        <w:gridCol w:w="1469"/>
        <w:gridCol w:w="1427"/>
        <w:gridCol w:w="1545"/>
        <w:gridCol w:w="1603"/>
        <w:gridCol w:w="1527"/>
      </w:tblGrid>
      <w:tr>
        <w:trPr>
          <w:tblHeader w:val="0"/>
          <w:cantSplit/>
          <w:trHeight w:val="554" w:hRule="atLeast"/>
        </w:trPr>
        <w:tc>
          <w:tcPr>
            <w:tcW w:w="3509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Наименование подпрограммы, основного мероприятия / регионального проекта / ведомственного проекта, мероприятия</w:t>
            </w:r>
            <w:r/>
          </w:p>
        </w:tc>
        <w:tc>
          <w:tcPr>
            <w:tcW w:w="1471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Источник финанси-рования</w:t>
            </w:r>
            <w:r/>
          </w:p>
        </w:tc>
        <w:tc>
          <w:tcPr>
            <w:tcW w:w="9103" w:type="dxa"/>
            <w:gridSpan w:val="6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Объем финансовых ресурсов, тыс. рублей</w:t>
            </w:r>
            <w:r/>
          </w:p>
        </w:tc>
      </w:tr>
      <w:tr>
        <w:trPr>
          <w:tblHeader w:val="0"/>
          <w:cantSplit/>
          <w:trHeight w:val="1306" w:hRule="atLeast"/>
        </w:trPr>
        <w:tc>
          <w:tcPr>
            <w:tcW w:w="3509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/>
        </w:tc>
        <w:tc>
          <w:tcPr>
            <w:tcW w:w="1471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/>
        </w:tc>
        <w:tc>
          <w:tcPr>
            <w:tcW w:w="153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2022 год</w:t>
            </w:r>
            <w:r/>
          </w:p>
        </w:tc>
        <w:tc>
          <w:tcPr>
            <w:tcW w:w="146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2023 год</w:t>
            </w:r>
            <w:r/>
          </w:p>
        </w:tc>
        <w:tc>
          <w:tcPr>
            <w:tcW w:w="14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2024 год</w:t>
            </w:r>
            <w:r/>
          </w:p>
        </w:tc>
        <w:tc>
          <w:tcPr>
            <w:tcW w:w="154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2025 год</w:t>
            </w:r>
            <w:r/>
          </w:p>
        </w:tc>
        <w:tc>
          <w:tcPr>
            <w:tcW w:w="160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2026 год</w:t>
            </w:r>
            <w:r/>
          </w:p>
        </w:tc>
        <w:tc>
          <w:tcPr>
            <w:tcW w:w="15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color w:val="000000"/>
                <w:sz w:val="28"/>
                <w:szCs w:val="28"/>
              </w:rPr>
              <w:t>2027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год</w:t>
            </w:r>
            <w:r/>
          </w:p>
        </w:tc>
      </w:tr>
      <w:tr>
        <w:trPr>
          <w:tblHeader w:val="0"/>
          <w:cantSplit/>
          <w:trHeight w:val="450" w:hRule="atLeast"/>
        </w:trPr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  <w:r/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</w:t>
            </w:r>
            <w:r/>
          </w:p>
        </w:tc>
        <w:tc>
          <w:tcPr>
            <w:tcW w:w="153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3</w:t>
            </w:r>
            <w:r/>
          </w:p>
        </w:tc>
        <w:tc>
          <w:tcPr>
            <w:tcW w:w="146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4</w:t>
            </w:r>
            <w:r/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  <w:r/>
          </w:p>
        </w:tc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6</w:t>
            </w:r>
            <w:r/>
          </w:p>
        </w:tc>
        <w:tc>
          <w:tcPr>
            <w:tcW w:w="160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7</w:t>
            </w:r>
            <w:r/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8</w:t>
            </w:r>
            <w:r/>
          </w:p>
        </w:tc>
      </w:tr>
      <w:tr>
        <w:trPr>
          <w:tblHeader w:val="0"/>
          <w:cantSplit/>
          <w:trHeight w:val="790" w:hRule="atLeast"/>
        </w:trPr>
        <w:tc>
          <w:tcPr>
            <w:tcW w:w="35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Муниципальная программа </w:t>
            </w:r>
            <w:r>
              <w:rPr>
                <w:color w:val="000000"/>
                <w:sz w:val="28"/>
              </w:rPr>
              <w:t>«Управление муниципальными финансами Анжеро-Судженского городского округа»</w:t>
            </w:r>
            <w:r/>
          </w:p>
        </w:tc>
        <w:tc>
          <w:tcPr>
            <w:tcW w:w="147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Всего</w:t>
            </w:r>
            <w:r/>
          </w:p>
        </w:tc>
        <w:tc>
          <w:tcPr>
            <w:tcW w:w="153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20 225,3</w:t>
            </w:r>
            <w:r/>
          </w:p>
        </w:tc>
        <w:tc>
          <w:tcPr>
            <w:tcW w:w="146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19 484,0</w:t>
            </w:r>
            <w:r/>
          </w:p>
        </w:tc>
        <w:tc>
          <w:tcPr>
            <w:tcW w:w="14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22 755,5</w:t>
            </w:r>
            <w:r/>
          </w:p>
        </w:tc>
        <w:tc>
          <w:tcPr>
            <w:tcW w:w="154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23 779,7</w:t>
            </w:r>
            <w:r/>
          </w:p>
        </w:tc>
        <w:tc>
          <w:tcPr>
            <w:tcW w:w="160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23 785,6</w:t>
            </w:r>
            <w:r/>
          </w:p>
        </w:tc>
        <w:tc>
          <w:tcPr>
            <w:tcW w:w="15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23 768,0</w:t>
            </w:r>
            <w:r/>
          </w:p>
        </w:tc>
      </w:tr>
      <w:tr>
        <w:trPr>
          <w:tblHeader w:val="0"/>
          <w:cantSplit/>
          <w:trHeight w:val="920" w:hRule="atLeast"/>
        </w:trPr>
        <w:tc>
          <w:tcPr>
            <w:tcW w:w="35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/>
        </w:tc>
        <w:tc>
          <w:tcPr>
            <w:tcW w:w="147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Местный бюджет</w:t>
            </w:r>
            <w:r/>
          </w:p>
        </w:tc>
        <w:tc>
          <w:tcPr>
            <w:tcW w:w="153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20 225,3</w:t>
            </w:r>
            <w:r/>
          </w:p>
        </w:tc>
        <w:tc>
          <w:tcPr>
            <w:tcW w:w="146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19 484,0</w:t>
            </w:r>
            <w:r/>
          </w:p>
        </w:tc>
        <w:tc>
          <w:tcPr>
            <w:tcW w:w="14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22 755,5</w:t>
            </w:r>
            <w:r/>
          </w:p>
        </w:tc>
        <w:tc>
          <w:tcPr>
            <w:tcW w:w="154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23 779,7</w:t>
            </w:r>
            <w:r/>
          </w:p>
        </w:tc>
        <w:tc>
          <w:tcPr>
            <w:tcW w:w="160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23785,6</w:t>
            </w:r>
            <w:r/>
          </w:p>
        </w:tc>
        <w:tc>
          <w:tcPr>
            <w:tcW w:w="15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23 768,0</w:t>
            </w:r>
            <w:r/>
          </w:p>
        </w:tc>
      </w:tr>
      <w:tr>
        <w:trPr>
          <w:tblHeader w:val="0"/>
          <w:cantSplit/>
          <w:trHeight w:val="500" w:hRule="atLeast"/>
        </w:trPr>
        <w:tc>
          <w:tcPr>
            <w:tcW w:w="350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12"/>
              <w:ind w:firstLine="0"/>
              <w:spacing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/>
          </w:p>
        </w:tc>
        <w:tc>
          <w:tcPr>
            <w:tcW w:w="147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  <w:r/>
          </w:p>
        </w:tc>
        <w:tc>
          <w:tcPr>
            <w:tcW w:w="153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  <w:r/>
          </w:p>
        </w:tc>
        <w:tc>
          <w:tcPr>
            <w:tcW w:w="146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  <w:r/>
          </w:p>
        </w:tc>
        <w:tc>
          <w:tcPr>
            <w:tcW w:w="14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  <w:r/>
          </w:p>
        </w:tc>
        <w:tc>
          <w:tcPr>
            <w:tcW w:w="154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  <w:r/>
          </w:p>
        </w:tc>
        <w:tc>
          <w:tcPr>
            <w:tcW w:w="160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  <w:r/>
          </w:p>
        </w:tc>
        <w:tc>
          <w:tcPr>
            <w:tcW w:w="15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8</w:t>
            </w:r>
            <w:r/>
          </w:p>
        </w:tc>
      </w:tr>
      <w:tr>
        <w:trPr>
          <w:tblHeader w:val="0"/>
          <w:cantSplit/>
          <w:trHeight w:val="1012" w:hRule="atLeast"/>
        </w:trPr>
        <w:tc>
          <w:tcPr>
            <w:tcW w:w="3509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12"/>
              <w:ind w:firstLine="0"/>
              <w:spacing/>
              <w:jc w:val="both"/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</w:t>
            </w:r>
            <w:r/>
          </w:p>
          <w:p>
            <w:pPr>
              <w:pStyle w:val="para12"/>
              <w:ind w:firstLine="0"/>
              <w:spacing/>
              <w:jc w:val="both"/>
              <w:widowControl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1."</w:t>
            </w:r>
            <w:hyperlink r:id="rId12" w:history="1">
              <w:r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Обеспечение сбалансированности и устойчивости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бюджетной системы Анжеро-Судженского городского округа".</w:t>
            </w:r>
            <w:r/>
          </w:p>
          <w:p>
            <w:pPr>
              <w:pStyle w:val="para12"/>
              <w:ind w:firstLine="0"/>
              <w:spacing/>
              <w:jc w:val="both"/>
              <w:widowControl w:val="0"/>
            </w:pPr>
            <w:r/>
          </w:p>
        </w:tc>
        <w:tc>
          <w:tcPr>
            <w:tcW w:w="147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Всего</w:t>
            </w:r>
            <w:r/>
          </w:p>
        </w:tc>
        <w:tc>
          <w:tcPr>
            <w:tcW w:w="153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17 808,1</w:t>
            </w:r>
            <w:r/>
          </w:p>
        </w:tc>
        <w:tc>
          <w:tcPr>
            <w:tcW w:w="146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19 390,0</w:t>
            </w:r>
            <w:r/>
          </w:p>
        </w:tc>
        <w:tc>
          <w:tcPr>
            <w:tcW w:w="14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22 670,9</w:t>
            </w:r>
            <w:r/>
          </w:p>
        </w:tc>
        <w:tc>
          <w:tcPr>
            <w:tcW w:w="154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23 710,4</w:t>
            </w:r>
            <w:r/>
          </w:p>
        </w:tc>
        <w:tc>
          <w:tcPr>
            <w:tcW w:w="160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23 725,5</w:t>
            </w:r>
            <w:r/>
          </w:p>
        </w:tc>
        <w:tc>
          <w:tcPr>
            <w:tcW w:w="15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23 707,9</w:t>
            </w:r>
            <w:r/>
          </w:p>
        </w:tc>
      </w:tr>
      <w:tr>
        <w:trPr>
          <w:tblHeader w:val="0"/>
          <w:cantSplit/>
          <w:trHeight w:val="1635" w:hRule="atLeast"/>
        </w:trPr>
        <w:tc>
          <w:tcPr>
            <w:tcW w:w="3509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/>
        </w:tc>
        <w:tc>
          <w:tcPr>
            <w:tcW w:w="147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Местный бюджет</w:t>
            </w:r>
            <w:r/>
          </w:p>
        </w:tc>
        <w:tc>
          <w:tcPr>
            <w:tcW w:w="153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17 808,1</w:t>
            </w:r>
            <w:r/>
          </w:p>
        </w:tc>
        <w:tc>
          <w:tcPr>
            <w:tcW w:w="146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19 390,0</w:t>
            </w:r>
            <w:r/>
          </w:p>
        </w:tc>
        <w:tc>
          <w:tcPr>
            <w:tcW w:w="14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22 670,9</w:t>
            </w:r>
            <w:r/>
          </w:p>
        </w:tc>
        <w:tc>
          <w:tcPr>
            <w:tcW w:w="154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23 710,4</w:t>
            </w:r>
            <w:r/>
          </w:p>
        </w:tc>
        <w:tc>
          <w:tcPr>
            <w:tcW w:w="160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23 725,5</w:t>
            </w:r>
            <w:r/>
          </w:p>
        </w:tc>
        <w:tc>
          <w:tcPr>
            <w:tcW w:w="15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23 707,9</w:t>
            </w:r>
            <w:r/>
          </w:p>
        </w:tc>
      </w:tr>
      <w:tr>
        <w:trPr>
          <w:tblHeader w:val="0"/>
          <w:cantSplit/>
          <w:trHeight w:val="1131" w:hRule="atLeast"/>
        </w:trPr>
        <w:tc>
          <w:tcPr>
            <w:tcW w:w="3509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12"/>
              <w:ind w:firstLine="0"/>
              <w:spacing/>
              <w:jc w:val="both"/>
              <w:widowControl w:val="0"/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Мероприятие</w:t>
            </w:r>
            <w:r/>
          </w:p>
          <w:p>
            <w:pPr>
              <w:pStyle w:val="para12"/>
              <w:ind w:firstLine="0"/>
              <w:spacing/>
              <w:jc w:val="both"/>
              <w:widowControl w:val="0"/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1.4.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условий для повышения эффективности, результативности бюджетного процесса и качества управления муниципальными финансами в муниципальном образовании</w:t>
            </w:r>
            <w:r/>
          </w:p>
        </w:tc>
        <w:tc>
          <w:tcPr>
            <w:tcW w:w="147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Всего</w:t>
            </w:r>
            <w:r/>
          </w:p>
        </w:tc>
        <w:tc>
          <w:tcPr>
            <w:tcW w:w="153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17 808,1</w:t>
            </w:r>
            <w:r/>
          </w:p>
        </w:tc>
        <w:tc>
          <w:tcPr>
            <w:tcW w:w="146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19 390,0</w:t>
            </w:r>
            <w:r/>
          </w:p>
        </w:tc>
        <w:tc>
          <w:tcPr>
            <w:tcW w:w="14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22 670,9</w:t>
            </w:r>
            <w:r/>
          </w:p>
        </w:tc>
        <w:tc>
          <w:tcPr>
            <w:tcW w:w="154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23 710,4</w:t>
            </w:r>
            <w:r/>
          </w:p>
        </w:tc>
        <w:tc>
          <w:tcPr>
            <w:tcW w:w="160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23 725,5</w:t>
            </w:r>
            <w:r/>
          </w:p>
        </w:tc>
        <w:tc>
          <w:tcPr>
            <w:tcW w:w="15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23 707,9</w:t>
            </w:r>
            <w:r/>
          </w:p>
        </w:tc>
      </w:tr>
      <w:tr>
        <w:trPr>
          <w:tblHeader w:val="0"/>
          <w:cantSplit/>
          <w:trHeight w:val="413" w:hRule="atLeast"/>
        </w:trPr>
        <w:tc>
          <w:tcPr>
            <w:tcW w:w="3509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/>
        </w:tc>
        <w:tc>
          <w:tcPr>
            <w:tcW w:w="147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Местный бюджет</w:t>
            </w:r>
            <w:r/>
          </w:p>
        </w:tc>
        <w:tc>
          <w:tcPr>
            <w:tcW w:w="153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17 808,1</w:t>
            </w:r>
            <w:r/>
          </w:p>
        </w:tc>
        <w:tc>
          <w:tcPr>
            <w:tcW w:w="146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19 390,0</w:t>
            </w:r>
            <w:r/>
          </w:p>
        </w:tc>
        <w:tc>
          <w:tcPr>
            <w:tcW w:w="14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22 670,9</w:t>
            </w:r>
            <w:r/>
          </w:p>
        </w:tc>
        <w:tc>
          <w:tcPr>
            <w:tcW w:w="154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23 710,4</w:t>
            </w:r>
            <w:r/>
          </w:p>
        </w:tc>
        <w:tc>
          <w:tcPr>
            <w:tcW w:w="160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23 725,5</w:t>
            </w:r>
            <w:r/>
          </w:p>
        </w:tc>
        <w:tc>
          <w:tcPr>
            <w:tcW w:w="15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23 707,9</w:t>
            </w:r>
            <w:r/>
          </w:p>
        </w:tc>
      </w:tr>
      <w:tr>
        <w:trPr>
          <w:tblHeader w:val="0"/>
          <w:cantSplit/>
          <w:trHeight w:val="673" w:hRule="atLeast"/>
        </w:trPr>
        <w:tc>
          <w:tcPr>
            <w:tcW w:w="3509" w:type="dxa"/>
            <w:vMerge w:val="restart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12"/>
              <w:ind w:firstLine="0"/>
              <w:spacing/>
              <w:jc w:val="both"/>
              <w:widowControl w:val="0"/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>Подпрограмма 3.</w:t>
            </w:r>
            <w:r/>
          </w:p>
          <w:p>
            <w:pPr>
              <w:pStyle w:val="para12"/>
              <w:ind w:firstLine="0"/>
              <w:spacing/>
              <w:jc w:val="both"/>
              <w:widowControl w:val="0"/>
            </w:pPr>
            <w:hyperlink r:id="rId13" w:history="1">
              <w:r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"Управление муниципальным долгом Анжеро-Судженского городского округа"</w:t>
              </w:r>
            </w:hyperlink>
          </w:p>
          <w:p>
            <w:pPr>
              <w:pStyle w:val="para12"/>
              <w:ind w:firstLine="0"/>
              <w:spacing/>
              <w:jc w:val="both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7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Всего</w:t>
            </w:r>
            <w:r/>
          </w:p>
        </w:tc>
        <w:tc>
          <w:tcPr>
            <w:tcW w:w="153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2 417,2</w:t>
            </w:r>
            <w:r/>
          </w:p>
        </w:tc>
        <w:tc>
          <w:tcPr>
            <w:tcW w:w="146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94,0</w:t>
            </w:r>
            <w:r/>
          </w:p>
        </w:tc>
        <w:tc>
          <w:tcPr>
            <w:tcW w:w="14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84,6</w:t>
            </w:r>
            <w:r/>
          </w:p>
        </w:tc>
        <w:tc>
          <w:tcPr>
            <w:tcW w:w="154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69,3</w:t>
            </w:r>
            <w:r/>
          </w:p>
        </w:tc>
        <w:tc>
          <w:tcPr>
            <w:tcW w:w="160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60,1</w:t>
            </w:r>
            <w:r/>
          </w:p>
        </w:tc>
        <w:tc>
          <w:tcPr>
            <w:tcW w:w="15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60,1</w:t>
            </w:r>
            <w:r/>
          </w:p>
        </w:tc>
      </w:tr>
      <w:tr>
        <w:trPr>
          <w:tblHeader w:val="0"/>
          <w:cantSplit/>
          <w:trHeight w:val="279" w:hRule="atLeast"/>
        </w:trPr>
        <w:tc>
          <w:tcPr>
            <w:tcW w:w="3509" w:type="dxa"/>
            <w:vMerge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/>
        </w:tc>
        <w:tc>
          <w:tcPr>
            <w:tcW w:w="147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Местный бюджет</w:t>
            </w:r>
            <w:r/>
          </w:p>
        </w:tc>
        <w:tc>
          <w:tcPr>
            <w:tcW w:w="153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2 417,2</w:t>
            </w:r>
            <w:r/>
          </w:p>
        </w:tc>
        <w:tc>
          <w:tcPr>
            <w:tcW w:w="146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94,0</w:t>
            </w:r>
            <w:r/>
          </w:p>
        </w:tc>
        <w:tc>
          <w:tcPr>
            <w:tcW w:w="14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84,6</w:t>
            </w:r>
            <w:r/>
          </w:p>
        </w:tc>
        <w:tc>
          <w:tcPr>
            <w:tcW w:w="154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bookmarkStart w:id="8" w:name="__DdeLink__3728_3872236341"/>
            <w:r/>
            <w:r>
              <w:rPr>
                <w:rFonts w:eastAsia="Calibri"/>
                <w:color w:val="000000"/>
                <w:sz w:val="28"/>
                <w:szCs w:val="28"/>
              </w:rPr>
              <w:t>69,</w:t>
            </w:r>
            <w:r/>
            <w:bookmarkEnd w:id="8"/>
            <w:r/>
            <w:r>
              <w:rPr>
                <w:rFonts w:eastAsia="Calibri"/>
                <w:color w:val="000000"/>
                <w:sz w:val="28"/>
                <w:szCs w:val="28"/>
              </w:rPr>
              <w:t>3</w:t>
            </w:r>
            <w:r/>
          </w:p>
        </w:tc>
        <w:tc>
          <w:tcPr>
            <w:tcW w:w="160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60,1</w:t>
            </w:r>
            <w:r/>
          </w:p>
        </w:tc>
        <w:tc>
          <w:tcPr>
            <w:tcW w:w="15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60,1</w:t>
            </w:r>
            <w:r/>
          </w:p>
        </w:tc>
      </w:tr>
      <w:tr>
        <w:trPr>
          <w:tblHeader w:val="0"/>
          <w:cantSplit/>
          <w:trHeight w:val="550" w:hRule="atLeast"/>
        </w:trPr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567" w:lineRule="atLeast"/>
              <w:jc w:val="center"/>
              <w:widowControl w:val="0"/>
            </w:pPr>
            <w:r>
              <w:rPr>
                <w:color w:val="000000"/>
                <w:sz w:val="28"/>
                <w:szCs w:val="28"/>
              </w:rPr>
              <w:t>1</w:t>
            </w:r>
            <w:r/>
          </w:p>
        </w:tc>
        <w:tc>
          <w:tcPr>
            <w:tcW w:w="147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color w:val="000000"/>
                <w:sz w:val="28"/>
                <w:szCs w:val="28"/>
              </w:rPr>
              <w:t>2</w:t>
            </w:r>
            <w:r/>
          </w:p>
        </w:tc>
        <w:tc>
          <w:tcPr>
            <w:tcW w:w="153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/>
              <w:jc w:val="center"/>
              <w:widowControl w:val="0"/>
            </w:pPr>
            <w:r>
              <w:rPr>
                <w:color w:val="000000"/>
                <w:sz w:val="28"/>
                <w:szCs w:val="28"/>
              </w:rPr>
              <w:t>3</w:t>
            </w:r>
            <w:r/>
          </w:p>
        </w:tc>
        <w:tc>
          <w:tcPr>
            <w:tcW w:w="146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color w:val="000000"/>
                <w:sz w:val="28"/>
                <w:szCs w:val="28"/>
              </w:rPr>
              <w:t>4</w:t>
            </w:r>
            <w:r/>
          </w:p>
        </w:tc>
        <w:tc>
          <w:tcPr>
            <w:tcW w:w="14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color w:val="000000"/>
                <w:sz w:val="28"/>
                <w:szCs w:val="28"/>
              </w:rPr>
              <w:t>5</w:t>
            </w:r>
            <w:r/>
          </w:p>
        </w:tc>
        <w:tc>
          <w:tcPr>
            <w:tcW w:w="154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color w:val="000000"/>
                <w:sz w:val="28"/>
                <w:szCs w:val="28"/>
              </w:rPr>
              <w:t>6</w:t>
            </w:r>
            <w:r/>
          </w:p>
        </w:tc>
        <w:tc>
          <w:tcPr>
            <w:tcW w:w="160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color w:val="000000"/>
                <w:sz w:val="28"/>
                <w:szCs w:val="28"/>
              </w:rPr>
              <w:t>7</w:t>
            </w:r>
            <w:r/>
          </w:p>
        </w:tc>
        <w:tc>
          <w:tcPr>
            <w:tcW w:w="15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color w:val="000000"/>
                <w:sz w:val="28"/>
                <w:szCs w:val="28"/>
              </w:rPr>
              <w:t>8</w:t>
            </w:r>
            <w:r/>
          </w:p>
        </w:tc>
      </w:tr>
      <w:tr>
        <w:trPr>
          <w:tblHeader w:val="0"/>
          <w:cantSplit/>
          <w:trHeight w:val="648" w:hRule="atLeast"/>
        </w:trPr>
        <w:tc>
          <w:tcPr>
            <w:tcW w:w="35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Мероприятие</w:t>
            </w:r>
            <w:r/>
          </w:p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3.2. Процентные платежи по муниципальному долгу Анжеро-Судженского городского округа</w:t>
            </w:r>
            <w:r/>
          </w:p>
        </w:tc>
        <w:tc>
          <w:tcPr>
            <w:tcW w:w="147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Всего</w:t>
            </w:r>
            <w:r/>
          </w:p>
        </w:tc>
        <w:tc>
          <w:tcPr>
            <w:tcW w:w="153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2 417,2</w:t>
            </w:r>
            <w:r/>
          </w:p>
        </w:tc>
        <w:tc>
          <w:tcPr>
            <w:tcW w:w="146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94,0</w:t>
            </w:r>
            <w:r/>
          </w:p>
        </w:tc>
        <w:tc>
          <w:tcPr>
            <w:tcW w:w="14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84,6</w:t>
            </w:r>
            <w:r/>
          </w:p>
        </w:tc>
        <w:tc>
          <w:tcPr>
            <w:tcW w:w="154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60,1</w:t>
            </w:r>
            <w:r/>
          </w:p>
        </w:tc>
        <w:tc>
          <w:tcPr>
            <w:tcW w:w="160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60,1</w:t>
            </w:r>
            <w:r/>
          </w:p>
        </w:tc>
        <w:tc>
          <w:tcPr>
            <w:tcW w:w="15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60,1</w:t>
            </w:r>
            <w:r/>
          </w:p>
        </w:tc>
      </w:tr>
      <w:tr>
        <w:trPr>
          <w:tblHeader w:val="0"/>
          <w:cantSplit/>
          <w:trHeight w:val="0" w:hRule="auto"/>
        </w:trPr>
        <w:tc>
          <w:tcPr>
            <w:tcW w:w="35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/>
        </w:tc>
        <w:tc>
          <w:tcPr>
            <w:tcW w:w="1471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Местный бюджет</w:t>
            </w:r>
            <w:r/>
          </w:p>
        </w:tc>
        <w:tc>
          <w:tcPr>
            <w:tcW w:w="1532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2 417,2</w:t>
            </w:r>
            <w:r/>
          </w:p>
        </w:tc>
        <w:tc>
          <w:tcPr>
            <w:tcW w:w="1469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94,0</w:t>
            </w:r>
            <w:r/>
          </w:p>
        </w:tc>
        <w:tc>
          <w:tcPr>
            <w:tcW w:w="14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84,6</w:t>
            </w:r>
            <w:r/>
          </w:p>
        </w:tc>
        <w:tc>
          <w:tcPr>
            <w:tcW w:w="1545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bookmarkStart w:id="9" w:name="__DdeLink__3728_3872236341_Копия_1"/>
            <w:r/>
            <w:r>
              <w:rPr>
                <w:rFonts w:eastAsia="Calibri"/>
                <w:color w:val="000000"/>
                <w:sz w:val="28"/>
                <w:szCs w:val="28"/>
              </w:rPr>
              <w:t>60,1</w:t>
            </w:r>
            <w:r/>
            <w:bookmarkEnd w:id="9"/>
            <w:r/>
          </w:p>
        </w:tc>
        <w:tc>
          <w:tcPr>
            <w:tcW w:w="160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60,1</w:t>
            </w:r>
            <w:r/>
          </w:p>
        </w:tc>
        <w:tc>
          <w:tcPr>
            <w:tcW w:w="1527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917752" protected="0"/>
          </w:tcPr>
          <w:p>
            <w:pPr>
              <w:pStyle w:val="para0"/>
              <w:spacing w:after="0" w:beforeAutospacing="1" w:line="120" w:lineRule="atLeast"/>
              <w:jc w:val="center"/>
              <w:widowControl w:val="0"/>
            </w:pPr>
            <w:r>
              <w:rPr>
                <w:rFonts w:eastAsia="Calibri"/>
                <w:color w:val="000000"/>
                <w:sz w:val="28"/>
                <w:szCs w:val="28"/>
              </w:rPr>
              <w:t>60,1</w:t>
            </w:r>
            <w:r/>
          </w:p>
        </w:tc>
      </w:tr>
    </w:tbl>
    <w:p>
      <w:pPr>
        <w:spacing/>
        <w:jc w:val="center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4"/>
      <w:footerReference w:type="default" r:id="rId15"/>
      <w:type w:val="nextPage"/>
      <w:pgSz w:h="11906" w:w="16838" w:orient="landscape"/>
      <w:pgMar w:left="1701" w:top="1191" w:right="850" w:bottom="1700" w:header="1134" w:footer="1134"/>
      <w:paperSrc w:first="0" w:other="0" a="0" b="0"/>
      <w:pgNumType w:fmt="decimal"/>
      <w:tmGutter w:val="3"/>
      <w:mirrorMargins w:val="0"/>
      <w:tmSection w:h="-2">
        <w:tmHeader w:id="0" w:h="0" edge="1134" text="0">
          <w:shd w:val="none"/>
        </w:tmHeader>
        <w:tmFooter w:id="0" w:h="0" edge="1134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Arial">
    <w:charset w:val="00"/>
    <w:family w:val="swiss"/>
    <w:pitch w:val="default"/>
  </w:font>
  <w:font w:name="Cambria">
    <w:charset w:val="00"/>
    <w:family w:val="roman"/>
    <w:pitch w:val="default"/>
  </w:font>
  <w:font w:name="Tahoma">
    <w:charset w:val="00"/>
    <w:family w:val="roman"/>
    <w:pitch w:val="default"/>
  </w:font>
  <w:font w:name="PT Astra Serif">
    <w:charset w:val="00"/>
    <w:family w:val="roman"/>
    <w:pitch w:val="default"/>
  </w:font>
  <w:font w:name="Noto Sans Devanagari">
    <w:charset w:val="00"/>
    <w:family w:val="roman"/>
    <w:pitch w:val="default"/>
  </w:font>
  <w:font w:name="Calibri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4"/>
      <w:spacing/>
      <w:jc w:val="center"/>
    </w:pPr>
    <w:r>
      <w:fldChar w:fldCharType="begin"/>
      <w:instrText xml:space="preserve"> PAGE </w:instrText>
      <w:fldChar w:fldCharType="separate"/>
      <w:t>4</w:t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4"/>
      <w:spacing/>
      <w:jc w:val="center"/>
    </w:pPr>
    <w:r>
      <w:fldChar w:fldCharType="begin"/>
      <w:instrText xml:space="preserve"> PAGE </w:instrText>
      <w:fldChar w:fldCharType="separate"/>
      <w:t>5</w:t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4"/>
      <w:numFmt w:val="decimal"/>
      <w:suff w:val="tab"/>
      <w:lvlText w:val="%1."/>
      <w:lvlJc w:val="left"/>
      <w:pPr>
        <w:ind w:left="34" w:hanging="0"/>
      </w:pPr>
    </w:lvl>
    <w:lvl w:ilvl="1">
      <w:start w:val="1"/>
      <w:numFmt w:val="lowerLetter"/>
      <w:suff w:val="tab"/>
      <w:lvlText w:val="%2."/>
      <w:lvlJc w:val="left"/>
      <w:pPr>
        <w:ind w:left="754" w:hanging="0"/>
      </w:pPr>
    </w:lvl>
    <w:lvl w:ilvl="2">
      <w:start w:val="1"/>
      <w:numFmt w:val="lowerRoman"/>
      <w:suff w:val="tab"/>
      <w:lvlText w:val="%3."/>
      <w:lvlJc w:val="right"/>
      <w:pPr>
        <w:ind w:left="1654" w:hanging="0"/>
      </w:pPr>
    </w:lvl>
    <w:lvl w:ilvl="3">
      <w:start w:val="1"/>
      <w:numFmt w:val="decimal"/>
      <w:suff w:val="tab"/>
      <w:lvlText w:val="%4."/>
      <w:lvlJc w:val="left"/>
      <w:pPr>
        <w:ind w:left="2194" w:hanging="0"/>
      </w:pPr>
    </w:lvl>
    <w:lvl w:ilvl="4">
      <w:start w:val="1"/>
      <w:numFmt w:val="lowerLetter"/>
      <w:suff w:val="tab"/>
      <w:lvlText w:val="%5."/>
      <w:lvlJc w:val="left"/>
      <w:pPr>
        <w:ind w:left="2914" w:hanging="0"/>
      </w:pPr>
    </w:lvl>
    <w:lvl w:ilvl="5">
      <w:start w:val="1"/>
      <w:numFmt w:val="lowerRoman"/>
      <w:suff w:val="tab"/>
      <w:lvlText w:val="%6."/>
      <w:lvlJc w:val="right"/>
      <w:pPr>
        <w:ind w:left="3814" w:hanging="0"/>
      </w:pPr>
    </w:lvl>
    <w:lvl w:ilvl="6">
      <w:start w:val="1"/>
      <w:numFmt w:val="decimal"/>
      <w:suff w:val="tab"/>
      <w:lvlText w:val="%7."/>
      <w:lvlJc w:val="left"/>
      <w:pPr>
        <w:ind w:left="4354" w:hanging="0"/>
      </w:pPr>
    </w:lvl>
    <w:lvl w:ilvl="7">
      <w:start w:val="1"/>
      <w:numFmt w:val="lowerLetter"/>
      <w:suff w:val="tab"/>
      <w:lvlText w:val="%8."/>
      <w:lvlJc w:val="left"/>
      <w:pPr>
        <w:ind w:left="5074" w:hanging="0"/>
      </w:pPr>
    </w:lvl>
    <w:lvl w:ilvl="8">
      <w:start w:val="1"/>
      <w:numFmt w:val="lowerRoman"/>
      <w:suff w:val="tab"/>
      <w:lvlText w:val="%9."/>
      <w:lvlJc w:val="right"/>
      <w:pPr>
        <w:ind w:left="5974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4097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61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3"/>
    <w:tmLastPosSelect w:val="4"/>
    <w:tmLastPosFrameIdx w:val="-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4917752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4"/>
      <w:szCs w:val="24"/>
    </w:rPr>
  </w:style>
  <w:style w:type="paragraph" w:styleId="para1">
    <w:name w:val="heading 1"/>
    <w:qFormat/>
    <w:basedOn w:val="para0"/>
    <w:next w:val="para0"/>
    <w:pPr>
      <w:spacing w:before="240"/>
      <w:keepNext/>
      <w:outlineLvl w:val="0"/>
      <w:keepLines/>
    </w:pPr>
    <w:rPr>
      <w:rFonts w:ascii="Cambria" w:hAnsi="Cambria" w:eastAsia="Basic Roman" w:cs="Basic Roman"/>
      <w:color w:val="365f91"/>
      <w:sz w:val="32"/>
      <w:szCs w:val="32"/>
    </w:rPr>
  </w:style>
  <w:style w:type="paragraph" w:styleId="para2">
    <w:name w:val="heading 3"/>
    <w:qFormat/>
    <w:basedOn w:val="para0"/>
    <w:next w:val="para0"/>
    <w:pPr>
      <w:spacing/>
      <w:jc w:val="center"/>
      <w:keepNext/>
      <w:outlineLvl w:val="2"/>
    </w:pPr>
    <w:rPr>
      <w:b/>
      <w:sz w:val="28"/>
      <w:szCs w:val="20"/>
    </w:rPr>
  </w:style>
  <w:style w:type="paragraph" w:styleId="para3" w:customStyle="1">
    <w:name w:val="Заголовок"/>
    <w:qFormat/>
    <w:basedOn w:val="para0"/>
    <w:next w:val="para4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4">
    <w:name w:val="Body Text"/>
    <w:qFormat/>
    <w:basedOn w:val="para0"/>
    <w:pPr>
      <w:spacing/>
      <w:jc w:val="both"/>
    </w:pPr>
    <w:rPr>
      <w:sz w:val="28"/>
      <w:szCs w:val="20"/>
    </w:rPr>
  </w:style>
  <w:style w:type="paragraph" w:styleId="para5">
    <w:name w:val="List"/>
    <w:qFormat/>
    <w:basedOn w:val="para4"/>
    <w:rPr>
      <w:rFonts w:ascii="PT Astra Serif" w:hAnsi="PT Astra Serif" w:cs="Noto Sans Devanagari"/>
    </w:rPr>
  </w:style>
  <w:style w:type="paragraph" w:styleId="para6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7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8">
    <w:name w:val="Title"/>
    <w:qFormat/>
    <w:basedOn w:val="para0"/>
    <w:next w:val="para4"/>
    <w:pPr>
      <w:spacing/>
      <w:jc w:val="center"/>
    </w:pPr>
    <w:rPr>
      <w:b/>
      <w:bCs/>
      <w:color w:val="000000"/>
      <w:szCs w:val="20"/>
    </w:rPr>
  </w:style>
  <w:style w:type="paragraph" w:styleId="para9" w:customStyle="1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10" w:customStyle="1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1" w:customStyle="1">
    <w:name w:val="Заголовок1"/>
    <w:qFormat/>
    <w:basedOn w:val="para0"/>
    <w:next w:val="para4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12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kern w:val="1"/>
      <w:lang w:val="ru-ru" w:eastAsia="ru-ru" w:bidi="ar-sa"/>
    </w:rPr>
  </w:style>
  <w:style w:type="paragraph" w:styleId="para13" w:customStyle="1">
    <w:name w:val="Колонтитул"/>
    <w:qFormat/>
    <w:basedOn w:val="para0"/>
  </w:style>
  <w:style w:type="paragraph" w:styleId="para14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5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6" w:customStyle="1">
    <w:name w:val="Основной текст1"/>
    <w:qFormat/>
    <w:basedOn w:val="para0"/>
    <w:pPr>
      <w:spacing w:before="600" w:after="480" w:line="486" w:lineRule="exac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sz w:val="28"/>
      <w:szCs w:val="28"/>
    </w:rPr>
  </w:style>
  <w:style w:type="paragraph" w:styleId="para17" w:customStyle="1">
    <w:name w:val="ConsPlusCell"/>
    <w:qFormat/>
    <w:rPr>
      <w:rFonts w:ascii="Arial" w:hAnsi="Arial" w:eastAsia="Times New Roman" w:cs="Arial"/>
      <w:kern w:val="1"/>
      <w:lang w:val="ru-ru" w:eastAsia="ru-ru" w:bidi="ar-sa"/>
    </w:rPr>
  </w:style>
  <w:style w:type="paragraph" w:styleId="para18">
    <w:name w:val="Balloon Text"/>
    <w:qFormat/>
    <w:basedOn w:val="para0"/>
    <w:rPr>
      <w:rFonts w:ascii="Tahoma" w:hAnsi="Tahoma"/>
      <w:sz w:val="16"/>
      <w:szCs w:val="16"/>
    </w:rPr>
  </w:style>
  <w:style w:type="paragraph" w:styleId="para19">
    <w:name w:val="List Paragraph"/>
    <w:qFormat/>
    <w:basedOn w:val="para0"/>
    <w:pPr>
      <w:spacing w:beforeAutospacing="1" w:afterAutospacing="1"/>
    </w:pPr>
  </w:style>
  <w:style w:type="paragraph" w:styleId="para20" w:customStyle="1">
    <w:name w:val="consplusnormal"/>
    <w:qFormat/>
    <w:basedOn w:val="para0"/>
    <w:pPr>
      <w:spacing w:beforeAutospacing="1" w:afterAutospacing="1"/>
    </w:pPr>
  </w:style>
  <w:style w:type="paragraph" w:styleId="para21" w:customStyle="1">
    <w:name w:val="a0"/>
    <w:qFormat/>
    <w:basedOn w:val="para0"/>
    <w:pPr>
      <w:spacing w:beforeAutospacing="1" w:afterAutospacing="1"/>
    </w:pPr>
  </w:style>
  <w:style w:type="paragraph" w:styleId="para22" w:customStyle="1">
    <w:name w:val="Знак Знак Знак Знак Знак Знак Знак4"/>
    <w:qFormat/>
    <w:basedOn w:val="para0"/>
    <w:pPr>
      <w:spacing w:beforeAutospacing="1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para23" w:customStyle="1">
    <w:name w:val="conspluscell"/>
    <w:qFormat/>
    <w:basedOn w:val="para0"/>
    <w:pPr>
      <w:spacing w:beforeAutospacing="1" w:afterAutospacing="1"/>
    </w:pPr>
  </w:style>
  <w:style w:type="paragraph" w:styleId="para24">
    <w:name w:val="Plain Text"/>
    <w:qFormat/>
    <w:basedOn w:val="para0"/>
    <w:pPr>
      <w:spacing w:beforeAutospacing="1" w:afterAutospacing="1"/>
    </w:pPr>
  </w:style>
  <w:style w:type="paragraph" w:styleId="para25">
    <w:name w:val="Normal (Web)"/>
    <w:qFormat/>
    <w:basedOn w:val="para0"/>
    <w:pPr>
      <w:spacing w:beforeAutospacing="1" w:afterAutospacing="1"/>
    </w:pPr>
  </w:style>
  <w:style w:type="paragraph" w:styleId="para26" w:customStyle="1">
    <w:name w:val="annotation text"/>
    <w:qFormat/>
    <w:basedOn w:val="para0"/>
    <w:rPr>
      <w:sz w:val="20"/>
      <w:szCs w:val="20"/>
    </w:rPr>
  </w:style>
  <w:style w:type="paragraph" w:styleId="para27" w:customStyle="1">
    <w:name w:val="annotation subject"/>
    <w:qFormat/>
    <w:basedOn w:val="para26"/>
    <w:next w:val="para26"/>
    <w:rPr>
      <w:b/>
      <w:bCs/>
    </w:rPr>
  </w:style>
  <w:style w:type="paragraph" w:styleId="para28" w:customStyle="1">
    <w:name w:val="Содержимое таблицы"/>
    <w:qFormat/>
    <w:basedOn w:val="para0"/>
    <w:pPr>
      <w:suppressLineNumbers/>
      <w:widowControl w:val="0"/>
    </w:pPr>
  </w:style>
  <w:style w:type="paragraph" w:styleId="para29" w:customStyle="1">
    <w:name w:val="Заголовок таблицы"/>
    <w:qFormat/>
    <w:basedOn w:val="para28"/>
    <w:pPr>
      <w:spacing/>
      <w:jc w:val="center"/>
    </w:pPr>
    <w:rPr>
      <w:b/>
      <w:bCs/>
    </w:rPr>
  </w:style>
  <w:style w:type="paragraph" w:styleId="para30" w:customStyle="1">
    <w:name w:val="Основной текст (4)"/>
    <w:qFormat/>
    <w:basedOn w:val="para0"/>
    <w:pPr>
      <w:spacing w:before="60" w:after="200" w:line="20" w:lineRule="atLeast"/>
      <w:jc w:val="center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spacing w:val="-10" w:percent="92"/>
      <w:sz w:val="28"/>
      <w:szCs w:val="28"/>
      <w:lang w:eastAsia="en-us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Заголовок 3 Знак"/>
    <w:rPr>
      <w:b/>
      <w:sz w:val="28"/>
    </w:rPr>
  </w:style>
  <w:style w:type="character" w:styleId="char3" w:customStyle="1">
    <w:name w:val="Основной текст_"/>
    <w:rPr>
      <w:sz w:val="28"/>
      <w:szCs w:val="28"/>
      <w:shd w:val="clear" w:fill="ffffff"/>
    </w:rPr>
  </w:style>
  <w:style w:type="character" w:styleId="char4" w:customStyle="1">
    <w:name w:val="Верхний колонтитул Знак"/>
    <w:rPr>
      <w:sz w:val="24"/>
      <w:szCs w:val="24"/>
    </w:rPr>
  </w:style>
  <w:style w:type="character" w:styleId="char5" w:customStyle="1">
    <w:name w:val="Основной текст Знак"/>
    <w:rPr>
      <w:sz w:val="28"/>
    </w:rPr>
  </w:style>
  <w:style w:type="character" w:styleId="char6" w:customStyle="1">
    <w:name w:val="Текст выноски Знак"/>
    <w:rPr>
      <w:rFonts w:ascii="Tahoma" w:hAnsi="Tahoma" w:cs="Tahoma"/>
      <w:sz w:val="16"/>
      <w:szCs w:val="16"/>
    </w:rPr>
  </w:style>
  <w:style w:type="character" w:styleId="char7">
    <w:name w:val="Strong"/>
    <w:rPr>
      <w:b/>
      <w:bCs/>
    </w:rPr>
  </w:style>
  <w:style w:type="character" w:styleId="char8" w:customStyle="1">
    <w:name w:val="Текст Знак"/>
    <w:rPr>
      <w:sz w:val="24"/>
      <w:szCs w:val="24"/>
    </w:rPr>
  </w:style>
  <w:style w:type="character" w:styleId="char9" w:customStyle="1">
    <w:name w:val="Нижний колонтитул Знак"/>
    <w:basedOn w:val="char0"/>
    <w:rPr>
      <w:sz w:val="24"/>
      <w:szCs w:val="24"/>
    </w:rPr>
  </w:style>
  <w:style w:type="character" w:styleId="char10" w:customStyle="1">
    <w:name w:val="Заголовок 1 Знак"/>
    <w:basedOn w:val="char0"/>
    <w:rPr>
      <w:rFonts w:ascii="Cambria" w:hAnsi="Cambria" w:eastAsia="Basic Roman" w:cs="Basic Roman"/>
      <w:color w:val="365f91"/>
      <w:sz w:val="32"/>
      <w:szCs w:val="32"/>
    </w:rPr>
  </w:style>
  <w:style w:type="character" w:styleId="char11" w:customStyle="1">
    <w:name w:val="spelle"/>
    <w:basedOn w:val="char0"/>
  </w:style>
  <w:style w:type="character" w:styleId="char12" w:customStyle="1">
    <w:name w:val="grame"/>
    <w:basedOn w:val="char0"/>
  </w:style>
  <w:style w:type="character" w:styleId="char13" w:customStyle="1">
    <w:name w:val="ConsPlusNormal Знак"/>
    <w:rPr>
      <w:rFonts w:ascii="Arial" w:hAnsi="Arial" w:cs="Arial"/>
    </w:rPr>
  </w:style>
  <w:style w:type="character" w:styleId="char14" w:customStyle="1">
    <w:name w:val="Заголовок Знак"/>
    <w:basedOn w:val="char0"/>
    <w:rPr>
      <w:b/>
      <w:bCs/>
      <w:color w:val="000000"/>
      <w:sz w:val="24"/>
      <w:noProof w:val="1"/>
    </w:rPr>
  </w:style>
  <w:style w:type="character" w:styleId="char15" w:customStyle="1">
    <w:name w:val="annotation reference"/>
    <w:basedOn w:val="char0"/>
    <w:rPr>
      <w:sz w:val="16"/>
      <w:szCs w:val="16"/>
    </w:rPr>
  </w:style>
  <w:style w:type="character" w:styleId="char16" w:customStyle="1">
    <w:name w:val="Текст примечания Знак"/>
    <w:basedOn w:val="char0"/>
  </w:style>
  <w:style w:type="character" w:styleId="char17" w:customStyle="1">
    <w:name w:val="Тема примечания Знак"/>
    <w:basedOn w:val="char16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4"/>
      <w:szCs w:val="24"/>
    </w:rPr>
  </w:style>
  <w:style w:type="paragraph" w:styleId="para1">
    <w:name w:val="heading 1"/>
    <w:qFormat/>
    <w:basedOn w:val="para0"/>
    <w:next w:val="para0"/>
    <w:pPr>
      <w:spacing w:before="240"/>
      <w:keepNext/>
      <w:outlineLvl w:val="0"/>
      <w:keepLines/>
    </w:pPr>
    <w:rPr>
      <w:rFonts w:ascii="Cambria" w:hAnsi="Cambria" w:eastAsia="Basic Roman" w:cs="Basic Roman"/>
      <w:color w:val="365f91"/>
      <w:sz w:val="32"/>
      <w:szCs w:val="32"/>
    </w:rPr>
  </w:style>
  <w:style w:type="paragraph" w:styleId="para2">
    <w:name w:val="heading 3"/>
    <w:qFormat/>
    <w:basedOn w:val="para0"/>
    <w:next w:val="para0"/>
    <w:pPr>
      <w:spacing/>
      <w:jc w:val="center"/>
      <w:keepNext/>
      <w:outlineLvl w:val="2"/>
    </w:pPr>
    <w:rPr>
      <w:b/>
      <w:sz w:val="28"/>
      <w:szCs w:val="20"/>
    </w:rPr>
  </w:style>
  <w:style w:type="paragraph" w:styleId="para3" w:customStyle="1">
    <w:name w:val="Заголовок"/>
    <w:qFormat/>
    <w:basedOn w:val="para0"/>
    <w:next w:val="para4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4">
    <w:name w:val="Body Text"/>
    <w:qFormat/>
    <w:basedOn w:val="para0"/>
    <w:pPr>
      <w:spacing/>
      <w:jc w:val="both"/>
    </w:pPr>
    <w:rPr>
      <w:sz w:val="28"/>
      <w:szCs w:val="20"/>
    </w:rPr>
  </w:style>
  <w:style w:type="paragraph" w:styleId="para5">
    <w:name w:val="List"/>
    <w:qFormat/>
    <w:basedOn w:val="para4"/>
    <w:rPr>
      <w:rFonts w:ascii="PT Astra Serif" w:hAnsi="PT Astra Serif" w:cs="Noto Sans Devanagari"/>
    </w:rPr>
  </w:style>
  <w:style w:type="paragraph" w:styleId="para6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7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8">
    <w:name w:val="Title"/>
    <w:qFormat/>
    <w:basedOn w:val="para0"/>
    <w:next w:val="para4"/>
    <w:pPr>
      <w:spacing/>
      <w:jc w:val="center"/>
    </w:pPr>
    <w:rPr>
      <w:b/>
      <w:bCs/>
      <w:color w:val="000000"/>
      <w:szCs w:val="20"/>
    </w:rPr>
  </w:style>
  <w:style w:type="paragraph" w:styleId="para9" w:customStyle="1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10" w:customStyle="1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11" w:customStyle="1">
    <w:name w:val="Заголовок1"/>
    <w:qFormat/>
    <w:basedOn w:val="para0"/>
    <w:next w:val="para4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12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kern w:val="1"/>
      <w:lang w:val="ru-ru" w:eastAsia="ru-ru" w:bidi="ar-sa"/>
    </w:rPr>
  </w:style>
  <w:style w:type="paragraph" w:styleId="para13" w:customStyle="1">
    <w:name w:val="Колонтитул"/>
    <w:qFormat/>
    <w:basedOn w:val="para0"/>
  </w:style>
  <w:style w:type="paragraph" w:styleId="para14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5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6" w:customStyle="1">
    <w:name w:val="Основной текст1"/>
    <w:qFormat/>
    <w:basedOn w:val="para0"/>
    <w:pPr>
      <w:spacing w:before="600" w:after="480" w:line="486" w:lineRule="exac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sz w:val="28"/>
      <w:szCs w:val="28"/>
    </w:rPr>
  </w:style>
  <w:style w:type="paragraph" w:styleId="para17" w:customStyle="1">
    <w:name w:val="ConsPlusCell"/>
    <w:qFormat/>
    <w:rPr>
      <w:rFonts w:ascii="Arial" w:hAnsi="Arial" w:eastAsia="Times New Roman" w:cs="Arial"/>
      <w:kern w:val="1"/>
      <w:lang w:val="ru-ru" w:eastAsia="ru-ru" w:bidi="ar-sa"/>
    </w:rPr>
  </w:style>
  <w:style w:type="paragraph" w:styleId="para18">
    <w:name w:val="Balloon Text"/>
    <w:qFormat/>
    <w:basedOn w:val="para0"/>
    <w:rPr>
      <w:rFonts w:ascii="Tahoma" w:hAnsi="Tahoma"/>
      <w:sz w:val="16"/>
      <w:szCs w:val="16"/>
    </w:rPr>
  </w:style>
  <w:style w:type="paragraph" w:styleId="para19">
    <w:name w:val="List Paragraph"/>
    <w:qFormat/>
    <w:basedOn w:val="para0"/>
    <w:pPr>
      <w:spacing w:beforeAutospacing="1" w:afterAutospacing="1"/>
    </w:pPr>
  </w:style>
  <w:style w:type="paragraph" w:styleId="para20" w:customStyle="1">
    <w:name w:val="consplusnormal"/>
    <w:qFormat/>
    <w:basedOn w:val="para0"/>
    <w:pPr>
      <w:spacing w:beforeAutospacing="1" w:afterAutospacing="1"/>
    </w:pPr>
  </w:style>
  <w:style w:type="paragraph" w:styleId="para21" w:customStyle="1">
    <w:name w:val="a0"/>
    <w:qFormat/>
    <w:basedOn w:val="para0"/>
    <w:pPr>
      <w:spacing w:beforeAutospacing="1" w:afterAutospacing="1"/>
    </w:pPr>
  </w:style>
  <w:style w:type="paragraph" w:styleId="para22" w:customStyle="1">
    <w:name w:val="Знак Знак Знак Знак Знак Знак Знак4"/>
    <w:qFormat/>
    <w:basedOn w:val="para0"/>
    <w:pPr>
      <w:spacing w:beforeAutospacing="1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para23" w:customStyle="1">
    <w:name w:val="conspluscell"/>
    <w:qFormat/>
    <w:basedOn w:val="para0"/>
    <w:pPr>
      <w:spacing w:beforeAutospacing="1" w:afterAutospacing="1"/>
    </w:pPr>
  </w:style>
  <w:style w:type="paragraph" w:styleId="para24">
    <w:name w:val="Plain Text"/>
    <w:qFormat/>
    <w:basedOn w:val="para0"/>
    <w:pPr>
      <w:spacing w:beforeAutospacing="1" w:afterAutospacing="1"/>
    </w:pPr>
  </w:style>
  <w:style w:type="paragraph" w:styleId="para25">
    <w:name w:val="Normal (Web)"/>
    <w:qFormat/>
    <w:basedOn w:val="para0"/>
    <w:pPr>
      <w:spacing w:beforeAutospacing="1" w:afterAutospacing="1"/>
    </w:pPr>
  </w:style>
  <w:style w:type="paragraph" w:styleId="para26" w:customStyle="1">
    <w:name w:val="annotation text"/>
    <w:qFormat/>
    <w:basedOn w:val="para0"/>
    <w:rPr>
      <w:sz w:val="20"/>
      <w:szCs w:val="20"/>
    </w:rPr>
  </w:style>
  <w:style w:type="paragraph" w:styleId="para27" w:customStyle="1">
    <w:name w:val="annotation subject"/>
    <w:qFormat/>
    <w:basedOn w:val="para26"/>
    <w:next w:val="para26"/>
    <w:rPr>
      <w:b/>
      <w:bCs/>
    </w:rPr>
  </w:style>
  <w:style w:type="paragraph" w:styleId="para28" w:customStyle="1">
    <w:name w:val="Содержимое таблицы"/>
    <w:qFormat/>
    <w:basedOn w:val="para0"/>
    <w:pPr>
      <w:suppressLineNumbers/>
      <w:widowControl w:val="0"/>
    </w:pPr>
  </w:style>
  <w:style w:type="paragraph" w:styleId="para29" w:customStyle="1">
    <w:name w:val="Заголовок таблицы"/>
    <w:qFormat/>
    <w:basedOn w:val="para28"/>
    <w:pPr>
      <w:spacing/>
      <w:jc w:val="center"/>
    </w:pPr>
    <w:rPr>
      <w:b/>
      <w:bCs/>
    </w:rPr>
  </w:style>
  <w:style w:type="paragraph" w:styleId="para30" w:customStyle="1">
    <w:name w:val="Основной текст (4)"/>
    <w:qFormat/>
    <w:basedOn w:val="para0"/>
    <w:pPr>
      <w:spacing w:before="60" w:after="200" w:line="20" w:lineRule="atLeast"/>
      <w:jc w:val="center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1677721856, 0, 16777215"/>
    </w:pPr>
    <w:rPr>
      <w:spacing w:val="-10" w:percent="92"/>
      <w:sz w:val="28"/>
      <w:szCs w:val="28"/>
      <w:lang w:eastAsia="en-us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Заголовок 3 Знак"/>
    <w:rPr>
      <w:b/>
      <w:sz w:val="28"/>
    </w:rPr>
  </w:style>
  <w:style w:type="character" w:styleId="char3" w:customStyle="1">
    <w:name w:val="Основной текст_"/>
    <w:rPr>
      <w:sz w:val="28"/>
      <w:szCs w:val="28"/>
      <w:shd w:val="clear" w:fill="ffffff"/>
    </w:rPr>
  </w:style>
  <w:style w:type="character" w:styleId="char4" w:customStyle="1">
    <w:name w:val="Верхний колонтитул Знак"/>
    <w:rPr>
      <w:sz w:val="24"/>
      <w:szCs w:val="24"/>
    </w:rPr>
  </w:style>
  <w:style w:type="character" w:styleId="char5" w:customStyle="1">
    <w:name w:val="Основной текст Знак"/>
    <w:rPr>
      <w:sz w:val="28"/>
    </w:rPr>
  </w:style>
  <w:style w:type="character" w:styleId="char6" w:customStyle="1">
    <w:name w:val="Текст выноски Знак"/>
    <w:rPr>
      <w:rFonts w:ascii="Tahoma" w:hAnsi="Tahoma" w:cs="Tahoma"/>
      <w:sz w:val="16"/>
      <w:szCs w:val="16"/>
    </w:rPr>
  </w:style>
  <w:style w:type="character" w:styleId="char7">
    <w:name w:val="Strong"/>
    <w:rPr>
      <w:b/>
      <w:bCs/>
    </w:rPr>
  </w:style>
  <w:style w:type="character" w:styleId="char8" w:customStyle="1">
    <w:name w:val="Текст Знак"/>
    <w:rPr>
      <w:sz w:val="24"/>
      <w:szCs w:val="24"/>
    </w:rPr>
  </w:style>
  <w:style w:type="character" w:styleId="char9" w:customStyle="1">
    <w:name w:val="Нижний колонтитул Знак"/>
    <w:basedOn w:val="char0"/>
    <w:rPr>
      <w:sz w:val="24"/>
      <w:szCs w:val="24"/>
    </w:rPr>
  </w:style>
  <w:style w:type="character" w:styleId="char10" w:customStyle="1">
    <w:name w:val="Заголовок 1 Знак"/>
    <w:basedOn w:val="char0"/>
    <w:rPr>
      <w:rFonts w:ascii="Cambria" w:hAnsi="Cambria" w:eastAsia="Basic Roman" w:cs="Basic Roman"/>
      <w:color w:val="365f91"/>
      <w:sz w:val="32"/>
      <w:szCs w:val="32"/>
    </w:rPr>
  </w:style>
  <w:style w:type="character" w:styleId="char11" w:customStyle="1">
    <w:name w:val="spelle"/>
    <w:basedOn w:val="char0"/>
  </w:style>
  <w:style w:type="character" w:styleId="char12" w:customStyle="1">
    <w:name w:val="grame"/>
    <w:basedOn w:val="char0"/>
  </w:style>
  <w:style w:type="character" w:styleId="char13" w:customStyle="1">
    <w:name w:val="ConsPlusNormal Знак"/>
    <w:rPr>
      <w:rFonts w:ascii="Arial" w:hAnsi="Arial" w:cs="Arial"/>
    </w:rPr>
  </w:style>
  <w:style w:type="character" w:styleId="char14" w:customStyle="1">
    <w:name w:val="Заголовок Знак"/>
    <w:basedOn w:val="char0"/>
    <w:rPr>
      <w:b/>
      <w:bCs/>
      <w:color w:val="000000"/>
      <w:sz w:val="24"/>
      <w:noProof w:val="1"/>
    </w:rPr>
  </w:style>
  <w:style w:type="character" w:styleId="char15" w:customStyle="1">
    <w:name w:val="annotation reference"/>
    <w:basedOn w:val="char0"/>
    <w:rPr>
      <w:sz w:val="16"/>
      <w:szCs w:val="16"/>
    </w:rPr>
  </w:style>
  <w:style w:type="character" w:styleId="char16" w:customStyle="1">
    <w:name w:val="Текст примечания Знак"/>
    <w:basedOn w:val="char0"/>
  </w:style>
  <w:style w:type="character" w:styleId="char17" w:customStyle="1">
    <w:name w:val="Тема примечания Знак"/>
    <w:basedOn w:val="char16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://gasu.gov.ru/" TargetMode="External"/><Relationship Id="rId10" Type="http://schemas.openxmlformats.org/officeDocument/2006/relationships/hyperlink" Target="http://www.anzhero.ru/" TargetMode="External"/><Relationship Id="rId11" Type="http://schemas.openxmlformats.org/officeDocument/2006/relationships/header" Target="header1.xml"/><Relationship Id="rId12" Type="http://schemas.openxmlformats.org/officeDocument/2006/relationships/hyperlink" Target="consultantplus://offline/ref=727F128958187733A2C0D4014C762067555AC895585CE0B5EEC7B153AA770AF9187434AAFB5525E6948640J7LFC" TargetMode="External"/><Relationship Id="rId13" Type="http://schemas.openxmlformats.org/officeDocument/2006/relationships/hyperlink" Target="consultantplus://offline/ref=727F128958187733A2C0D4014C762067555AC895585CE0B5EEC7B153AA770AF9187434AAFB5525E694864FJ7LBC" TargetMode="External"/><Relationship Id="rId14" Type="http://schemas.openxmlformats.org/officeDocument/2006/relationships/header" Target="header2.xm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Basic Roman"/>
        <a:cs typeface="Basic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/>
  <cp:revision>161</cp:revision>
  <cp:lastPrinted>2025-11-28T14:28:27Z</cp:lastPrinted>
  <dcterms:created xsi:type="dcterms:W3CDTF">2022-08-18T04:22:00Z</dcterms:created>
  <dcterms:modified xsi:type="dcterms:W3CDTF">2025-12-05T06:55:52Z</dcterms:modified>
</cp:coreProperties>
</file>